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gridSpan w:val="2"/>
            <w:vMerge w:val="restart"/>
          </w:tcPr>
          <w:p>
            <w:pPr>
              <w:ind w:left="20"/>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Aktar Mert</w:t>
              </w:r>
            </w:hyperlink>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Kyverna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KYTX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3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KYVERNA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5980 HORTON ST., STE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05/27/2026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5,093</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21,727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05/27/2026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20,582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05/27/2036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20,582</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20,582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of common stock, which will vest in full on the earlier of (i) May 27, 2027, and (ii) immediately prior to the date of the Issuer's 2027 annual meeting of stockholders, subject to the Reporting Person's continuous service to the Issuer on and through each applicable vesting date, inclusive.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subject to the option shall be fully vested and exercisable on the earlier of (i) May 27, 2027, and (ii) immediately prior to the date of the Issuer's 2027 annual meeting of stockholders, subject to the Reporting Person's continuous service to the Issuer on and through each applicable vesting date, inclusive.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Samantha H. Eldredge,</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0256" TargetMode="External"/><Relationship Id="rId14" Type="http://schemas.openxmlformats.org/officeDocument/2006/relationships/hyperlink" Target="http://www.sec.gov/cgi-bin/browse-edgar?action=getcompany&amp;CIK=0001994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2026-05-29T17:53:49Z</dcterms:created>
  <dcterms:modified xsi:type="dcterms:W3CDTF">2026-05-29T17:53:49Z</dcterms:modified>
</cp:coreProperties>
</file>