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Kyverna Therapeutics,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001-41947</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83-1365441</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52"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5980 Horton St., Suite 550</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Emeryville, California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94608</w:t>
      </w:r>
    </w:p>
    <w:p>
      <w:pPr>
        <w:spacing w:after="0" w:line="28"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(510) 925-2492</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112395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0"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KYTX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On April 20, 2026, Kyverna Therapeutics, Inc. (the “Company”) issued a press release announcing positive longer-term follow-up data from the Phase 2 portion of its KYSA-6 Phase 2/3 registrational trial of miv-cel (mivocabtagene autoleucel, KYV-101) in patients with generalized myasthenia gravis (gMG). On April 21, 2026, the Company issued an additional press release announcing positive primary analysis results from its registrational trial, KYSA-8, of miv-cel in stiff person syndrome (SPS). The Company will host a conference call at 7:00 a.m. Eastern Time on April 22, 2026 to review the results announced in the foregoing two press releases (the “Conference Call”). A copy of the slides to be used in connection with the Conference Call is furnished as Exhibit 99.1 to this Current Report on Form 8-K and is incorporated herein by reference.</w:t>
      </w:r>
    </w:p>
    <w:p>
      <w:pPr>
        <w:spacing w:after="0" w:line="135"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The information contained in Item 7.01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5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360" w:type="dxa"/>
            <w:vAlign w:val="bottom"/>
          </w:tcPr>
          <w:p>
            <w:pPr>
              <w:spacing w:after="0"/>
              <w:rPr>
                <w:sz w:val="10"/>
                <w:szCs w:val="10"/>
                <w:color w:val="auto"/>
              </w:rPr>
            </w:pPr>
          </w:p>
        </w:tc>
        <w:tc>
          <w:tcPr>
            <w:tcW w:w="6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6"/>
                <w:szCs w:val="16"/>
                <w:color w:val="auto"/>
              </w:rPr>
            </w:pPr>
          </w:p>
        </w:tc>
        <w:tc>
          <w:tcPr>
            <w:tcW w:w="6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7"/>
              </w:rPr>
              <w:t>Kyverna Therapeutics, Inc. Presentation - Highlighting New Data from Our Neuroimmunology Franchise at AAN, April 22, 2026.</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KYVERNA THERAPEUTICS,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April 22,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Marc Grasso,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Marc Grasso, M.D.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2026-04-22T06:03:11Z</dcterms:created>
  <dcterms:modified xsi:type="dcterms:W3CDTF">2026-04-22T06:03:11Z</dcterms:modified>
</cp:coreProperties>
</file>