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2984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298440"/>
                    </a:xfrm>
                    <a:prstGeom prst="rect">
                      <a:avLst/>
                    </a:prstGeom>
                    <a:noFill/>
                  </pic:spPr>
                </pic:pic>
              </a:graphicData>
            </a:graphic>
          </wp:anchor>
        </w:drawing>
      </w:r>
    </w:p>
    <w:p>
      <w:pPr>
        <w:spacing w:after="0" w:line="1181"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200" w:type="dxa"/>
            <w:vAlign w:val="bottom"/>
            <w:gridSpan w:val="3"/>
            <w:vMerge w:val="restart"/>
          </w:tcPr>
          <w:p>
            <w:pPr>
              <w:ind w:left="20"/>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Cohen Fred E</w:t>
              </w:r>
            </w:hyperlink>
          </w:p>
        </w:tc>
        <w:tc>
          <w:tcPr>
            <w:tcW w:w="12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tcPr>
          <w:p>
            <w:pPr>
              <w:spacing w:after="0" w:line="103" w:lineRule="exact"/>
              <w:rPr>
                <w:rFonts w:ascii="Times New Roman" w:cs="Times New Roman" w:eastAsia="Times New Roman" w:hAnsi="Times New Roman"/>
                <w:sz w:val="11"/>
                <w:szCs w:val="11"/>
                <w:color w:val="0000EE"/>
              </w:rPr>
            </w:pPr>
            <w:hyperlink r:id="rId14">
              <w:r>
                <w:rPr>
                  <w:rFonts w:ascii="Times New Roman" w:cs="Times New Roman" w:eastAsia="Times New Roman" w:hAnsi="Times New Roman"/>
                  <w:sz w:val="11"/>
                  <w:szCs w:val="11"/>
                  <w:color w:val="0000EE"/>
                </w:rPr>
                <w:t xml:space="preserve">Kyverna Therapeutics, Inc. </w:t>
              </w:r>
            </w:hyperlink>
            <w:r>
              <w:rPr>
                <w:rFonts w:ascii="Times New Roman" w:cs="Times New Roman" w:eastAsia="Times New Roman" w:hAnsi="Times New Roman"/>
                <w:sz w:val="11"/>
                <w:szCs w:val="11"/>
                <w:color w:val="000000"/>
              </w:rPr>
              <w:t>[</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9"/>
                <w:szCs w:val="9"/>
                <w:color w:val="0000FF"/>
              </w:rPr>
              <w:t>KYTX</w:t>
            </w:r>
            <w:r>
              <w:rPr>
                <w:rFonts w:ascii="Times New Roman" w:cs="Times New Roman" w:eastAsia="Times New Roman" w:hAnsi="Times New Roman"/>
                <w:sz w:val="11"/>
                <w:szCs w:val="11"/>
                <w:color w:val="0000EE"/>
              </w:rPr>
              <w:t xml:space="preserve"> </w:t>
            </w:r>
            <w:r>
              <w:rPr>
                <w:rFonts w:ascii="Times New Roman" w:cs="Times New Roman" w:eastAsia="Times New Roman" w:hAnsi="Times New Roman"/>
                <w:sz w:val="11"/>
                <w:szCs w:val="11"/>
                <w:color w:val="000000"/>
              </w:rPr>
              <w:t>]</w:t>
            </w:r>
          </w:p>
        </w:tc>
        <w:tc>
          <w:tcPr>
            <w:tcW w:w="184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1200" w:type="dxa"/>
            <w:vAlign w:val="bottom"/>
            <w:gridSpan w:val="3"/>
            <w:vMerge w:val="continue"/>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Borders>
              <w:bottom w:val="single" w:sz="8" w:color="0000EE"/>
            </w:tcBorders>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126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52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1140" w:type="dxa"/>
            <w:vAlign w:val="bottom"/>
            <w:tcBorders>
              <w:top w:val="single" w:sz="8" w:color="0000EE"/>
            </w:tcBorders>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52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14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1140" w:type="dxa"/>
            <w:vAlign w:val="bottom"/>
            <w:tcBorders>
              <w:top w:val="single" w:sz="8" w:color="EEEEEE"/>
            </w:tcBorders>
          </w:tcPr>
          <w:p>
            <w:pPr>
              <w:spacing w:after="0"/>
              <w:rPr>
                <w:sz w:val="2"/>
                <w:szCs w:val="2"/>
                <w:color w:val="auto"/>
              </w:rPr>
            </w:pPr>
          </w:p>
        </w:tc>
        <w:tc>
          <w:tcPr>
            <w:tcW w:w="40" w:type="dxa"/>
            <w:vAlign w:val="bottom"/>
            <w:tcBorders>
              <w:top w:val="single" w:sz="8" w:color="EEEEEE"/>
            </w:tcBorders>
          </w:tcPr>
          <w:p>
            <w:pPr>
              <w:spacing w:after="0"/>
              <w:rPr>
                <w:sz w:val="2"/>
                <w:szCs w:val="2"/>
                <w:color w:val="auto"/>
              </w:rPr>
            </w:pPr>
          </w:p>
        </w:tc>
        <w:tc>
          <w:tcPr>
            <w:tcW w:w="126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1200" w:type="dxa"/>
            <w:vAlign w:val="bottom"/>
            <w:gridSpan w:val="3"/>
            <w:vMerge w:val="restart"/>
          </w:tcPr>
          <w:p>
            <w:pPr>
              <w:ind w:left="20"/>
              <w:spacing w:after="0"/>
              <w:rPr>
                <w:sz w:val="20"/>
                <w:szCs w:val="20"/>
                <w:color w:val="auto"/>
              </w:rPr>
            </w:pPr>
            <w:r>
              <w:rPr>
                <w:rFonts w:ascii="Arial" w:cs="Arial" w:eastAsia="Arial" w:hAnsi="Arial"/>
                <w:sz w:val="13"/>
                <w:szCs w:val="13"/>
                <w:color w:val="auto"/>
              </w:rPr>
              <w:t>(Last)</w:t>
            </w:r>
          </w:p>
        </w:tc>
        <w:tc>
          <w:tcPr>
            <w:tcW w:w="1260" w:type="dxa"/>
            <w:vAlign w:val="bottom"/>
            <w:vMerge w:val="restart"/>
          </w:tcPr>
          <w:p>
            <w:pPr>
              <w:ind w:left="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29"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9"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1260" w:type="dxa"/>
            <w:vAlign w:val="bottom"/>
            <w:vMerge w:val="continue"/>
          </w:tcPr>
          <w:p>
            <w:pPr>
              <w:spacing w:after="0"/>
              <w:rPr>
                <w:sz w:val="7"/>
                <w:szCs w:val="7"/>
                <w:color w:val="auto"/>
              </w:rPr>
            </w:pPr>
          </w:p>
        </w:tc>
        <w:tc>
          <w:tcPr>
            <w:tcW w:w="1200" w:type="dxa"/>
            <w:vAlign w:val="bottom"/>
            <w:vMerge w:val="continue"/>
          </w:tcPr>
          <w:p>
            <w:pPr>
              <w:spacing w:after="0"/>
              <w:rPr>
                <w:sz w:val="7"/>
                <w:szCs w:val="7"/>
                <w:color w:val="auto"/>
              </w:rPr>
            </w:pPr>
          </w:p>
        </w:tc>
        <w:tc>
          <w:tcPr>
            <w:tcW w:w="240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05/27/2026</w:t>
            </w:r>
          </w:p>
        </w:tc>
        <w:tc>
          <w:tcPr>
            <w:tcW w:w="1520" w:type="dxa"/>
            <w:vAlign w:val="bottom"/>
          </w:tcPr>
          <w:p>
            <w:pPr>
              <w:spacing w:after="0"/>
              <w:rPr>
                <w:sz w:val="7"/>
                <w:szCs w:val="7"/>
                <w:color w:val="auto"/>
              </w:rPr>
            </w:pPr>
          </w:p>
        </w:tc>
        <w:tc>
          <w:tcPr>
            <w:tcW w:w="184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660" w:type="dxa"/>
            <w:vAlign w:val="bottom"/>
            <w:gridSpan w:val="5"/>
            <w:vMerge w:val="restart"/>
          </w:tcPr>
          <w:p>
            <w:pPr>
              <w:ind w:left="20"/>
              <w:spacing w:after="0"/>
              <w:rPr>
                <w:sz w:val="20"/>
                <w:szCs w:val="20"/>
                <w:color w:val="auto"/>
              </w:rPr>
            </w:pPr>
            <w:r>
              <w:rPr>
                <w:rFonts w:ascii="Times New Roman" w:cs="Times New Roman" w:eastAsia="Times New Roman" w:hAnsi="Times New Roman"/>
                <w:sz w:val="17"/>
                <w:szCs w:val="17"/>
                <w:color w:val="0000FF"/>
              </w:rPr>
              <w:t>C/O KYVERNA THERAPEUTICS, INC.</w:t>
            </w:r>
          </w:p>
        </w:tc>
        <w:tc>
          <w:tcPr>
            <w:tcW w:w="2400" w:type="dxa"/>
            <w:vAlign w:val="bottom"/>
            <w:gridSpan w:val="3"/>
            <w:vMerge w:val="continue"/>
          </w:tcPr>
          <w:p>
            <w:pPr>
              <w:spacing w:after="0"/>
              <w:rPr>
                <w:sz w:val="10"/>
                <w:szCs w:val="10"/>
                <w:color w:val="auto"/>
              </w:rPr>
            </w:pPr>
          </w:p>
        </w:tc>
        <w:tc>
          <w:tcPr>
            <w:tcW w:w="152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60" w:type="dxa"/>
            <w:vAlign w:val="bottom"/>
            <w:gridSpan w:val="5"/>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4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5980 HORTON ST., STE 200</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tcPr>
          <w:p>
            <w:pPr>
              <w:spacing w:after="0"/>
              <w:rPr>
                <w:sz w:val="11"/>
                <w:szCs w:val="11"/>
                <w:color w:val="auto"/>
              </w:rPr>
            </w:pPr>
          </w:p>
        </w:tc>
        <w:tc>
          <w:tcPr>
            <w:tcW w:w="152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126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760" w:type="dxa"/>
            <w:vAlign w:val="bottom"/>
            <w:gridSpan w:val="2"/>
            <w:vMerge w:val="continue"/>
          </w:tcPr>
          <w:p>
            <w:pPr>
              <w:spacing w:after="0"/>
              <w:rPr>
                <w:sz w:val="7"/>
                <w:szCs w:val="7"/>
                <w:color w:val="auto"/>
              </w:rPr>
            </w:pPr>
          </w:p>
        </w:tc>
        <w:tc>
          <w:tcPr>
            <w:tcW w:w="32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7" w:right="359" w:bottom="1440" w:gutter="0" w:footer="0" w:header="0"/>
          <w:type w:val="continuous"/>
        </w:sectPr>
      </w:pPr>
    </w:p>
    <w:p>
      <w:pPr>
        <w:spacing w:after="0" w:line="19" w:lineRule="exact"/>
        <w:rPr>
          <w:sz w:val="20"/>
          <w:szCs w:val="20"/>
          <w:color w:val="auto"/>
        </w:rPr>
      </w:pPr>
    </w:p>
    <w:tbl>
      <w:tblPr>
        <w:tblLayout w:type="fixed"/>
        <w:tblInd w:w="80" w:type="dxa"/>
        <w:tblCellMar>
          <w:top w:w="0" w:type="dxa"/>
          <w:left w:w="0" w:type="dxa"/>
          <w:bottom w:w="0" w:type="dxa"/>
          <w:right w:w="0" w:type="dxa"/>
        </w:tblCellMar>
      </w:tblPr>
      <w:tr>
        <w:trPr>
          <w:trHeight w:val="1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EMERYVILLE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94608</w:t>
            </w:r>
          </w:p>
        </w:tc>
      </w:tr>
      <w:tr>
        <w:trPr>
          <w:trHeight w:val="149"/>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2" w:lineRule="exact"/>
        <w:rPr>
          <w:sz w:val="20"/>
          <w:szCs w:val="20"/>
          <w:color w:val="auto"/>
        </w:rPr>
      </w:pPr>
    </w:p>
    <w:p>
      <w:pPr>
        <w:sectPr>
          <w:pgSz w:w="11900" w:h="16838" w:orient="portrait"/>
          <w:cols w:equalWidth="0" w:num="2">
            <w:col w:w="7540" w:space="720"/>
            <w:col w:w="282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w w:val="93"/>
              </w:rPr>
              <w:t>2A. Deemed</w:t>
            </w:r>
          </w:p>
        </w:tc>
        <w:tc>
          <w:tcPr>
            <w:tcW w:w="300" w:type="dxa"/>
            <w:vAlign w:val="bottom"/>
          </w:tcPr>
          <w:p>
            <w:pPr>
              <w:spacing w:after="0"/>
              <w:rPr>
                <w:sz w:val="13"/>
                <w:szCs w:val="13"/>
                <w:color w:val="auto"/>
              </w:rPr>
            </w:pP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8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19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98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6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980" w:type="dxa"/>
            <w:vAlign w:val="bottom"/>
            <w:gridSpan w:val="4"/>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320" w:type="dxa"/>
            <w:vAlign w:val="bottom"/>
          </w:tcPr>
          <w:p>
            <w:pPr>
              <w:spacing w:after="0"/>
              <w:rPr>
                <w:sz w:val="6"/>
                <w:szCs w:val="6"/>
                <w:color w:val="auto"/>
              </w:rPr>
            </w:pPr>
          </w:p>
        </w:tc>
        <w:tc>
          <w:tcPr>
            <w:tcW w:w="540" w:type="dxa"/>
            <w:vAlign w:val="bottom"/>
          </w:tcPr>
          <w:p>
            <w:pPr>
              <w:spacing w:after="0"/>
              <w:rPr>
                <w:sz w:val="6"/>
                <w:szCs w:val="6"/>
                <w:color w:val="auto"/>
              </w:rPr>
            </w:pPr>
          </w:p>
        </w:tc>
        <w:tc>
          <w:tcPr>
            <w:tcW w:w="980" w:type="dxa"/>
            <w:vAlign w:val="bottom"/>
            <w:gridSpan w:val="4"/>
            <w:vMerge w:val="restart"/>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98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2"/>
          </w:tcPr>
          <w:p>
            <w:pPr>
              <w:ind w:left="820"/>
              <w:spacing w:after="0"/>
              <w:rPr>
                <w:sz w:val="20"/>
                <w:szCs w:val="20"/>
                <w:color w:val="auto"/>
              </w:rPr>
            </w:pPr>
            <w:r>
              <w:rPr>
                <w:rFonts w:ascii="Times New Roman" w:cs="Times New Roman" w:eastAsia="Times New Roman" w:hAnsi="Times New Roman"/>
                <w:sz w:val="17"/>
                <w:szCs w:val="17"/>
                <w:color w:val="0000FF"/>
              </w:rPr>
              <w:t>05/27/2026</w:t>
            </w:r>
          </w:p>
        </w:tc>
        <w:tc>
          <w:tcPr>
            <w:tcW w:w="16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w w:val="91"/>
              </w:rPr>
              <w:t>5,093</w:t>
            </w:r>
            <w:r>
              <w:rPr>
                <w:rFonts w:ascii="Times New Roman" w:cs="Times New Roman" w:eastAsia="Times New Roman" w:hAnsi="Times New Roman"/>
                <w:sz w:val="21"/>
                <w:szCs w:val="21"/>
                <w:color w:val="008000"/>
                <w:w w:val="91"/>
                <w:vertAlign w:val="superscript"/>
              </w:rPr>
              <w:t>(1)</w:t>
            </w:r>
          </w:p>
        </w:tc>
        <w:tc>
          <w:tcPr>
            <w:tcW w:w="64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21,727</w:t>
            </w:r>
          </w:p>
        </w:tc>
        <w:tc>
          <w:tcPr>
            <w:tcW w:w="3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ind w:left="2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gridSpan w:val="2"/>
            <w:vMerge w:val="restart"/>
          </w:tcPr>
          <w:p>
            <w:pPr>
              <w:jc w:val="right"/>
              <w:ind w:right="241"/>
              <w:spacing w:after="0"/>
              <w:rPr>
                <w:sz w:val="20"/>
                <w:szCs w:val="20"/>
                <w:color w:val="auto"/>
              </w:rPr>
            </w:pPr>
            <w:r>
              <w:rPr>
                <w:rFonts w:ascii="Times New Roman" w:cs="Times New Roman" w:eastAsia="Times New Roman" w:hAnsi="Times New Roman"/>
                <w:sz w:val="17"/>
                <w:szCs w:val="17"/>
                <w:color w:val="0000FF"/>
              </w:rPr>
              <w:t>4,523,924</w:t>
            </w:r>
          </w:p>
        </w:tc>
        <w:tc>
          <w:tcPr>
            <w:tcW w:w="320" w:type="dxa"/>
            <w:vAlign w:val="bottom"/>
          </w:tcPr>
          <w:p>
            <w:pPr>
              <w:spacing w:after="0"/>
              <w:rPr>
                <w:sz w:val="21"/>
                <w:szCs w:val="21"/>
                <w:color w:val="auto"/>
              </w:rPr>
            </w:pP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98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98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30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32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98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180" w:type="dxa"/>
            <w:vAlign w:val="bottom"/>
            <w:gridSpan w:val="12"/>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1"/>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4"/>
                <w:szCs w:val="14"/>
                <w:color w:val="auto"/>
              </w:rPr>
            </w:pP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660" w:type="dxa"/>
            <w:vAlign w:val="bottom"/>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Beneficially</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4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Following</w:t>
            </w:r>
          </w:p>
        </w:tc>
        <w:tc>
          <w:tcPr>
            <w:tcW w:w="76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(I) (Instr.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w w:val="91"/>
              </w:rPr>
              <w:t>Reported</w:t>
            </w: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Transaction(s)</w:t>
            </w: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8.59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05/27/2026</w:t>
            </w:r>
          </w:p>
        </w:tc>
        <w:tc>
          <w:tcPr>
            <w:tcW w:w="1140" w:type="dxa"/>
            <w:vAlign w:val="bottom"/>
          </w:tcPr>
          <w:p>
            <w:pPr>
              <w:spacing w:after="0"/>
              <w:rPr>
                <w:sz w:val="16"/>
                <w:szCs w:val="16"/>
                <w:color w:val="auto"/>
              </w:rPr>
            </w:pPr>
          </w:p>
        </w:tc>
        <w:tc>
          <w:tcPr>
            <w:tcW w:w="62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160" w:type="dxa"/>
            <w:vAlign w:val="bottom"/>
          </w:tcPr>
          <w:p>
            <w:pPr>
              <w:spacing w:after="0"/>
              <w:rPr>
                <w:sz w:val="16"/>
                <w:szCs w:val="16"/>
                <w:color w:val="auto"/>
              </w:rPr>
            </w:pPr>
          </w:p>
        </w:tc>
        <w:tc>
          <w:tcPr>
            <w:tcW w:w="56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20,582</w:t>
            </w:r>
          </w:p>
        </w:tc>
        <w:tc>
          <w:tcPr>
            <w:tcW w:w="300" w:type="dxa"/>
            <w:vAlign w:val="bottom"/>
          </w:tcPr>
          <w:p>
            <w:pPr>
              <w:spacing w:after="0"/>
              <w:rPr>
                <w:sz w:val="16"/>
                <w:szCs w:val="16"/>
                <w:color w:val="auto"/>
              </w:rPr>
            </w:pPr>
          </w:p>
        </w:tc>
        <w:tc>
          <w:tcPr>
            <w:tcW w:w="780" w:type="dxa"/>
            <w:vAlign w:val="bottom"/>
            <w:gridSpan w:val="2"/>
          </w:tcPr>
          <w:p>
            <w:pPr>
              <w:ind w:left="28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05/27/2036</w:t>
            </w:r>
          </w:p>
        </w:tc>
        <w:tc>
          <w:tcPr>
            <w:tcW w:w="64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spacing w:after="0" w:line="194" w:lineRule="exact"/>
              <w:rPr>
                <w:sz w:val="20"/>
                <w:szCs w:val="20"/>
                <w:color w:val="auto"/>
              </w:rPr>
            </w:pPr>
            <w:r>
              <w:rPr>
                <w:rFonts w:ascii="Times New Roman" w:cs="Times New Roman" w:eastAsia="Times New Roman" w:hAnsi="Times New Roman"/>
                <w:sz w:val="17"/>
                <w:szCs w:val="17"/>
                <w:color w:val="0000FF"/>
              </w:rPr>
              <w:t>20,582</w:t>
            </w:r>
          </w:p>
        </w:tc>
        <w:tc>
          <w:tcPr>
            <w:tcW w:w="60" w:type="dxa"/>
            <w:vAlign w:val="bottom"/>
          </w:tcPr>
          <w:p>
            <w:pPr>
              <w:spacing w:after="0"/>
              <w:rPr>
                <w:sz w:val="16"/>
                <w:szCs w:val="16"/>
                <w:color w:val="auto"/>
              </w:rPr>
            </w:pPr>
          </w:p>
        </w:tc>
        <w:tc>
          <w:tcPr>
            <w:tcW w:w="66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20,582</w:t>
            </w:r>
          </w:p>
        </w:tc>
        <w:tc>
          <w:tcPr>
            <w:tcW w:w="54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D</w:t>
            </w:r>
          </w:p>
        </w:tc>
        <w:tc>
          <w:tcPr>
            <w:tcW w:w="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20" w:type="dxa"/>
            <w:vAlign w:val="bottom"/>
          </w:tcPr>
          <w:p>
            <w:pPr>
              <w:spacing w:after="0"/>
              <w:rPr>
                <w:sz w:val="9"/>
                <w:szCs w:val="9"/>
                <w:color w:val="auto"/>
              </w:rPr>
            </w:pPr>
          </w:p>
        </w:tc>
        <w:tc>
          <w:tcPr>
            <w:tcW w:w="640" w:type="dxa"/>
            <w:vAlign w:val="bottom"/>
          </w:tcPr>
          <w:p>
            <w:pPr>
              <w:ind w:left="12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0"/>
          <w:szCs w:val="20"/>
          <w:color w:val="auto"/>
        </w:rPr>
      </w:pPr>
    </w:p>
    <w:p>
      <w:pPr>
        <w:ind w:left="40" w:right="30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restricted stock unit award of common stock, which will vest in full on the earlier of (i) May 27, 2027, and (ii) immediately prior to the date of the Issuer's 2027 annual meeting of stockholders, subject to the Reporting Person's continuous service to the Issuer on and through each applicable vesting date, inclusive.</w:t>
      </w:r>
    </w:p>
    <w:p>
      <w:pPr>
        <w:spacing w:after="0" w:line="17" w:lineRule="exact"/>
        <w:rPr>
          <w:rFonts w:ascii="Times New Roman" w:cs="Times New Roman" w:eastAsia="Times New Roman" w:hAnsi="Times New Roman"/>
          <w:sz w:val="13"/>
          <w:szCs w:val="13"/>
          <w:color w:val="008000"/>
        </w:rPr>
      </w:pPr>
    </w:p>
    <w:p>
      <w:pPr>
        <w:ind w:left="40" w:right="240" w:firstLine="2"/>
        <w:spacing w:after="0" w:line="255"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All of the shares subject to the option shall be fully vested and exercisable on the earlier of (i) May 27, 2027, and (ii) immediately prior to the date of the Issuer's 2027 annual meeting of stockholders, subject to the Reporting Person's continuous service to the Issuer on and through each applicable vesting date, inclusive.</w:t>
      </w:r>
    </w:p>
    <w:p>
      <w:pPr>
        <w:spacing w:after="0" w:line="17" w:lineRule="exact"/>
        <w:rPr>
          <w:rFonts w:ascii="Times New Roman" w:cs="Times New Roman" w:eastAsia="Times New Roman" w:hAnsi="Times New Roman"/>
          <w:sz w:val="13"/>
          <w:szCs w:val="13"/>
          <w:color w:val="008000"/>
        </w:rPr>
      </w:pPr>
    </w:p>
    <w:p>
      <w:pPr>
        <w:ind w:left="40" w:right="180" w:firstLine="2"/>
        <w:spacing w:after="0" w:line="241" w:lineRule="auto"/>
        <w:tabs>
          <w:tab w:leader="none" w:pos="169"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held directly by Vida Ventures, LLC ("Vida"). Vida Ventures Advisors, LLC is the investment advisor to Vida. Dr. Arie Belldegrun, Leonard Potter and the Reporting Person are the managing members of Vida Ventures Advisors, LLC, and may be deemed to share voting and dispositive power over the shares held by Vida, but each disclaims beneficial ownership of the shares held by Vida except to the extent of such person's pecuniary interest therein, if any.</w:t>
      </w:r>
    </w:p>
    <w:p>
      <w:pPr>
        <w:spacing w:after="0" w:line="18" w:lineRule="exact"/>
        <w:rPr>
          <w:sz w:val="20"/>
          <w:szCs w:val="20"/>
          <w:color w:val="auto"/>
        </w:rPr>
      </w:pPr>
    </w:p>
    <w:tbl>
      <w:tblPr>
        <w:tblLayout w:type="fixed"/>
        <w:tblInd w:w="660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By: /s/ Samantha H. Eldredge,</w:t>
            </w:r>
          </w:p>
        </w:tc>
        <w:tc>
          <w:tcPr>
            <w:tcW w:w="160" w:type="dxa"/>
            <w:vAlign w:val="bottom"/>
          </w:tcPr>
          <w:p>
            <w:pPr>
              <w:spacing w:after="0"/>
              <w:rPr>
                <w:sz w:val="18"/>
                <w:szCs w:val="18"/>
                <w:color w:val="auto"/>
              </w:rPr>
            </w:pP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05/29/2026</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Times New Roman" w:cs="Times New Roman" w:eastAsia="Times New Roman" w:hAnsi="Times New Roman"/>
                <w:sz w:val="17"/>
                <w:szCs w:val="17"/>
                <w:color w:val="0000FF"/>
              </w:rPr>
              <w:t>as Attorney-in-Fact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00" w:type="dxa"/>
            <w:vAlign w:val="bottom"/>
            <w:shd w:val="clear" w:color="auto" w:fill="000000"/>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6"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339358" TargetMode="External"/><Relationship Id="rId14" Type="http://schemas.openxmlformats.org/officeDocument/2006/relationships/hyperlink" Target="http://www.sec.gov/cgi-bin/browse-edgar?action=getcompany&amp;CIK=00019947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2026-05-29T17:27:43Z</dcterms:created>
  <dcterms:modified xsi:type="dcterms:W3CDTF">2026-05-29T17:27:43Z</dcterms:modified>
</cp:coreProperties>
</file>