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ytx-20260630.htm"/>
      <w:bookmarkStart w:id="1" w:name="kskytx20260630"/>
      <w:bookmarkEnd w:id="0"/>
      <w:bookmarkEnd w:id="1"/>
      <w:r>
        <w:rPr/>
        <w:t> </w:t>
      </w:r>
    </w:p>
    <w:p>
      <w:pPr>
        <w:pStyle w:val="TextBody"/>
        <w:bidi w:val="0"/>
        <w:jc w:val="left"/>
        <w:rPr>
          <w:rFonts w:ascii="Times New Roman" w:hAnsi="Times New Roman"/>
          <w:color w:val="000000"/>
          <w:sz w:val="2"/>
        </w:rPr>
      </w:pPr>
      <w:r>
        <w:rPr>
          <w:rFonts w:ascii="Times New Roman" w:hAnsi="Times New Roman"/>
          <w:color w:val="000000"/>
          <w:sz w:val="2"/>
        </w:rPr>
        <w:t>R</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6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transition period from ______________ to ________________</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001-41947</w:t>
      </w:r>
    </w:p>
    <w:p>
      <w:pPr>
        <w:pStyle w:val="TextBody"/>
        <w:pBdr>
          <w:bottom w:val="single" w:sz="4" w:space="1" w:color="000000"/>
        </w:pBdr>
        <w:bidi w:val="0"/>
        <w:spacing w:before="0" w:after="6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Kyverna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83-1365441</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5980 Horton St., STE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Emeryville,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Registrant’s telephone number, including area code: (510)</w:t>
      </w:r>
      <w:r>
        <w:rPr>
          <w:rFonts w:ascii="Times New Roman" w:hAnsi="Times New Roman"/>
          <w:color w:val="000000"/>
          <w:sz w:val="20"/>
        </w:rPr>
        <w:t xml:space="preserve"> </w:t>
      </w:r>
      <w:r>
        <w:rPr>
          <w:rFonts w:ascii="Times New Roman" w:hAnsi="Times New Roman"/>
          <w:b/>
          <w:color w:val="000000"/>
          <w:sz w:val="20"/>
        </w:rPr>
        <w:t>925-2492</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65" w:type="dxa"/>
        <w:jc w:val="left"/>
        <w:tblInd w:w="0" w:type="dxa"/>
        <w:tblLayout w:type="fixed"/>
        <w:tblCellMar>
          <w:top w:w="28" w:type="dxa"/>
          <w:left w:w="28" w:type="dxa"/>
          <w:bottom w:w="28" w:type="dxa"/>
          <w:right w:w="28" w:type="dxa"/>
        </w:tblCellMar>
      </w:tblPr>
      <w:tblGrid>
        <w:gridCol w:w="3331"/>
        <w:gridCol w:w="146"/>
        <w:gridCol w:w="826"/>
        <w:gridCol w:w="146"/>
        <w:gridCol w:w="3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KYTX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As of August 3, 2026, the registrant had 61,843,444</w:t>
      </w:r>
      <w:r>
        <w:rPr>
          <w:rFonts w:ascii="Times New Roman" w:hAnsi="Times New Roman"/>
          <w:color w:val="000000"/>
          <w:sz w:val="20"/>
        </w:rPr>
        <w:t xml:space="preserve"> </w:t>
      </w:r>
      <w:r>
        <w:rPr>
          <w:rFonts w:ascii="Times New Roman" w:hAnsi="Times New Roman"/>
          <w:color w:val="000000"/>
          <w:sz w:val="18"/>
        </w:rPr>
        <w:t>shares of common stock, $0.00001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563C1"/>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563C1"/>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563C1"/>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563C1"/>
                  <w:sz w:val="20"/>
                  <w:u w:val="single"/>
                </w:rPr>
                <w:t>Condensed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omprehensive_income">
              <w:r>
                <w:rPr>
                  <w:rStyle w:val="InternetLink"/>
                  <w:rFonts w:ascii="Times New Roman" w:hAnsi="Times New Roman"/>
                  <w:color w:val="0563C1"/>
                  <w:sz w:val="20"/>
                  <w:u w:val="single"/>
                </w:rPr>
                <w:t>Condensed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563C1"/>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563C1"/>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a_riskfactor">
              <w:r>
                <w:rPr>
                  <w:rStyle w:val="InternetLink"/>
                  <w:rFonts w:ascii="Times New Roman" w:hAnsi="Times New Roman"/>
                  <w:color w:val="0563C1"/>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center"/>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Kyverna Therapeutics, Inc.</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39"/>
        <w:gridCol w:w="146"/>
        <w:gridCol w:w="211"/>
        <w:gridCol w:w="841"/>
        <w:gridCol w:w="166"/>
        <w:gridCol w:w="146"/>
        <w:gridCol w:w="213"/>
        <w:gridCol w:w="850"/>
        <w:gridCol w:w="793"/>
      </w:tblGrid>
      <w:tr>
        <w:trPr/>
        <w:tc>
          <w:tcPr>
            <w:tcW w:w="6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124,093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155,160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282,953</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293,826</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license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 and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short-term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36,487</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short-term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24,743</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stock, 10,000,000 shares authorized, $0.00001 par value, no shares issued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$0.00001 par value; 490,000,000 shares authorized as of June 30, 2026 and December 31, 2025; 61,570,247 and 60,389,893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657,005</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(424,827</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232,276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293,826</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Kyverna Therapeutics, Inc.</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44"/>
        <w:gridCol w:w="146"/>
        <w:gridCol w:w="211"/>
        <w:gridCol w:w="1036"/>
        <w:gridCol w:w="166"/>
        <w:gridCol w:w="146"/>
        <w:gridCol w:w="211"/>
        <w:gridCol w:w="1036"/>
        <w:gridCol w:w="166"/>
        <w:gridCol w:w="146"/>
        <w:gridCol w:w="211"/>
        <w:gridCol w:w="1036"/>
        <w:gridCol w:w="166"/>
        <w:gridCol w:w="146"/>
        <w:gridCol w:w="211"/>
        <w:gridCol w:w="1036"/>
        <w:gridCol w:w="791"/>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loss on available-for-sale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(86,841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60,896,872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43,225,365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60,666,814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43,220,498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Kyverna Therapeutics, Inc.</w:t>
      </w:r>
    </w:p>
    <w:p>
      <w:pPr>
        <w:pStyle w:val="TextBody"/>
        <w:bidi w:val="0"/>
        <w:jc w:val="center"/>
        <w:rPr>
          <w:rFonts w:ascii="Times New Roman" w:hAnsi="Times New Roman"/>
          <w:b/>
          <w:color w:val="000000"/>
          <w:sz w:val="20"/>
        </w:rPr>
      </w:pPr>
      <w:bookmarkStart w:id="6" w:name="statement_of_comprehensive_income"/>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39"/>
        <w:gridCol w:w="146"/>
        <w:gridCol w:w="146"/>
        <w:gridCol w:w="766"/>
        <w:gridCol w:w="146"/>
        <w:gridCol w:w="146"/>
        <w:gridCol w:w="196"/>
        <w:gridCol w:w="375"/>
        <w:gridCol w:w="146"/>
        <w:gridCol w:w="146"/>
        <w:gridCol w:w="181"/>
        <w:gridCol w:w="586"/>
        <w:gridCol w:w="151"/>
        <w:gridCol w:w="146"/>
        <w:gridCol w:w="194"/>
        <w:gridCol w:w="677"/>
        <w:gridCol w:w="151"/>
        <w:gridCol w:w="146"/>
        <w:gridCol w:w="331"/>
        <w:gridCol w:w="690"/>
        <w:gridCol w:w="151"/>
        <w:gridCol w:w="146"/>
        <w:gridCol w:w="213"/>
        <w:gridCol w:w="692"/>
        <w:gridCol w:w="198"/>
      </w:tblGrid>
      <w:tr>
        <w:trPr/>
        <w:tc>
          <w:tcPr>
            <w:tcW w:w="3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60,389,893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657,005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(424,827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232,276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shares issued upon 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settlement of restricted stock units, net of 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(39,728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on available-for-sale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60,532,500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660,230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(464,555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195,580</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under ATM Facility, net of sales agent's fees and issuance costs of $332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shares issued upon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settlement of restricted stock units, net of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(38,319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on available-for-sale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61,570,247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668,564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(502,874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165,549</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43,214,918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530,002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(263,520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266,587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shares issued upon 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(44,635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on available-for-sale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43,218,873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532,166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(308,155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224,010</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settlement of restricted stock units, net of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(42,081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on available-for-sale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43,244,930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534,633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(350,236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184,377</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Kyverna Therapeutics, Inc.</w:t>
      </w:r>
    </w:p>
    <w:p>
      <w:pPr>
        <w:pStyle w:val="TextBody"/>
        <w:bidi w:val="0"/>
        <w:jc w:val="center"/>
        <w:rPr>
          <w:rFonts w:ascii="Times New Roman" w:hAnsi="Times New Roman"/>
          <w:b/>
          <w:color w:val="000000"/>
          <w:sz w:val="20"/>
        </w:rPr>
      </w:pPr>
      <w:bookmarkStart w:id="7" w:name="statement_of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17"/>
        <w:gridCol w:w="346"/>
        <w:gridCol w:w="197"/>
        <w:gridCol w:w="760"/>
        <w:gridCol w:w="167"/>
        <w:gridCol w:w="146"/>
        <w:gridCol w:w="197"/>
        <w:gridCol w:w="760"/>
        <w:gridCol w:w="815"/>
      </w:tblGrid>
      <w:tr>
        <w:trPr/>
        <w:tc>
          <w:tcPr>
            <w:tcW w:w="68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(78,047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(86,716</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discounts on available-for-sale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of capitalized software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sale of property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assets and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 and 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accrued expenses and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used in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(81,903</w:t>
            </w:r>
          </w:p>
        </w:tc>
        <w:tc>
          <w:tcPr>
            <w:tcW w:w="1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(76,864</w:t>
            </w:r>
          </w:p>
        </w:tc>
        <w:tc>
          <w:tcPr>
            <w:tcW w:w="8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available-for-sale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(147,823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(175,851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maturities of available-for-sale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134,300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210,800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Internal-use software development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(14,071</w:t>
            </w:r>
          </w:p>
        </w:tc>
        <w:tc>
          <w:tcPr>
            <w:tcW w:w="1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34,745</w:t>
            </w:r>
          </w:p>
        </w:tc>
        <w:tc>
          <w:tcPr>
            <w:tcW w:w="8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under ATM Facility, net of sales agent's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common stock options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paid on finance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for offering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Taxes paid related to net share settlement upon vesting of restricted stock units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(92,287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(43,182</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124,644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97,173</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32,357</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53,991</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to statement of financial position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31,806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53,440</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32,357</w:t>
            </w:r>
          </w:p>
        </w:tc>
        <w:tc>
          <w:tcPr>
            <w:tcW w:w="1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53,991</w:t>
            </w:r>
          </w:p>
        </w:tc>
        <w:tc>
          <w:tcPr>
            <w:tcW w:w="8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for non-cash investing and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Internal-use software development costs in 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Unpaid offering costs included in other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Receivable from sale of property and equipment included in prepaid expenses and 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Unsettled trade related to sales of common stock under ATM Facility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 obtained in exchange for operating lease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Kyverna Therapeutics, Inc.</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Description of Business, Organization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Kyverna Therapeutics, Inc. (“Kyverna” or “the Company”) is a late-stage clinical immunology company pioneering differentiated therapies with curative potential for people living with neurologic autoimmune diseases. The lead product candidate, mivocabtagene autoleucel, or miv-cel, and also known as KYV-101, is advancing through late-stage clinical development. The Company is currently focused on advancing its neuroimmunology CAR T franchise, which includes evaluating miv-cel in stiff person syndrome, or SPS, and generalized myasthenia gravis, or gMG. The Company was incorporated on June 14, 2018, was initially named BAIT Therapeutics, Inc., changed its name to Kyverna Therapeutics, Inc. on October 1, 2019, and is headquartered in Emeryville, California.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losses and negative cash flows from operations since inception. As of June 30, 2026, the Company had an accumulated deficit of $502.9 million. The Company had net losses of $78.0 million and $86.7 million for the six months ended June 30, 2026 and 2025, respectively. The Company had cash used in operations of $81.9 million and $76.9 million for the six months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historically financed its operations primarily through issuances of redeemable convertible preferred stock and convertible notes, revenue from its collaboration agreement and sale of shares of its common stock and debt financing. On October 31, 2025, the Company entered into a Loan and Security Agreement with Oxford Finance (as defined in Note 8). The Loan and Security Agreement provides a term loan facility (the “Loan Facility”) up to an aggregate principal amount of $150.0 million. On November 3, 2025, the Company borrowed $25.0 million from funds available from the first tranche of the term loan. On July 8, 2026, the Company, the Collateral Agent, and the Lenders entered into an amendment to the Loan and Security Agreement (see Note 8 for additional details). The Loan Facility matures on October 1, 2030.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cash and cash equivalents and available-for-sale marketable securities of $199.4 million. The Company expects to continue to incur operating losses and negative cash flows from operations to support the development of its product candidates, to expand its product portfolio and to continue its research and development activities and product launch readiness activities. The Company’s activities are subject to significant risks and uncertainties, including the completion of requisite clinical activities to support regulatory approvals, market acceptance of the Company’s product candidates, if approved, as well as the timing and extent of spending on research and development. There can be no assurance that the Company will ever earn revenue or achieve profitability, or if achieved, that the revenue or profitability will be sustained on a continuing basis. Unless and until it does, the Company will need to continue to raise additional capital. Based on its current operating plan, management estimates that its existing cash and cash equivalents and available-for-sale marketable securities balances, net proceeds from the sale of shares under the ATM Facility (see Note 9) and the term loans available under the Loan Facility with Oxford Finance will be sufficient to fund its operating plan and capital expenditure requirements for at least the next 12 months from the issuance of these condensed financial statements.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financial statements have been prepared in accordance with U.S. generally accepted accounting principles (“U.S. GAAP”) and the requirements of the Securities and Exchange Commission (the “SEC”) for interim reporting. As permitted under those rules, certain footnotes or other financial information that are normally required by U.S. GAAP can be condensed or omitted. These condensed financial statements have been prepared on the same basis as and should be read in conjunction with the annual financial statements included in the Annual Report on Form 10-K for the fiscal year ended December 31, 2025, filed with the SEC on March 26,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opinion of the Company’s management, the information in these condensed financial statements reflects all adjustments, all of which are of a normal and recurring nature necessary for a fair statement of the financial position and results of operations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reference in these notes to applicable guidance is meant to refer to the authoritative U.S. GAAP as found in the Accounting Standards Codification (“ASC”) and Accounting Standards Updates (“ASU”) of the Financial Accounting Standards Board (“FASB”).</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accrued expenses and stock-based compensation. Management bases its estimates on historical experience and on various other assumptions that are believed to be reasonable under the circumstances, the results of which form the basis for making judgments about the carrying values of assets and liabilities and the amount reported as revenue and expenses that are not readily apparent from other sources. Actual results may differ materially from those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the accounting policies discussed in Note 2 to the financial statements included in the Company’s Annual Report on Form 10-K for the fiscal year ended December 31, 2025, filed with the SEC on March 26, 2026. </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(Subtopic 220-40): Disaggregation of Income Statement Expenses</w:t>
      </w:r>
      <w:r>
        <w:rPr>
          <w:rFonts w:ascii="Times New Roman" w:hAnsi="Times New Roman"/>
          <w:color w:val="000000"/>
          <w:sz w:val="20"/>
        </w:rPr>
        <w:t>. The amendments in ASU No. 2024-03 require a public business entity to disclose specific information about certain costs and expenses in the notes to its financial statements for interim and annual reporting periods. The objective of the disclosure requirements is to provide disaggregated information about a public business entity's expenses to help investors (a) better understand the entity's performance, (b) better assess the entity's prospects for future cash flows, and (c) compare an entity's performance over time and with that of other entities. ASU No. 2024-03 is effective for fiscal years beginning after December 15, 2026, and for interim periods within fiscal years beginning after December 15, 2027. Early adoption is permitted, and entities may apply the standard prospectively or retrospectively. The Company is currently evaluating the impact of the adoption of this standard on its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No. 2025-06, Intangibles - Goodwill and Other - Internal-Use Software (Subtopic 350-40): </w:t>
      </w:r>
      <w:r>
        <w:rPr>
          <w:rFonts w:ascii="Times New Roman" w:hAnsi="Times New Roman"/>
          <w:i/>
          <w:color w:val="000000"/>
          <w:sz w:val="20"/>
        </w:rPr>
        <w:t>Targeted Improvements to the Accounting for Internal-Use Software.</w:t>
      </w:r>
      <w:r>
        <w:rPr>
          <w:rFonts w:ascii="Times New Roman" w:hAnsi="Times New Roman"/>
          <w:color w:val="000000"/>
          <w:sz w:val="20"/>
        </w:rPr>
        <w:t xml:space="preserve"> The amendments in ASU No. 2025-06 remove all references to prescriptive and sequential software development stages. This ASU requires entities to begin capitalizing software costs when management authorizes and commits to funding the software project, and it is probable that the project will be completed and the software will be used for its intended purpose. ASU No. 2025-06 is effective for fiscal years beginning after December 15, 2027. Early adoption is permitted, and entities may apply the standard prospectively or retrospectively. The Company is currently evaluating the impact of the adoption of this standard on its financial statements.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Fair Value Measurements and 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The authoritative guidance on fair value measurements establishes a three-tier fair value hierarchy for disclosure of fair value measurements, as follows:</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—Quoted prices in active markets for identical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—Unobservable inputs that are supported by little or no market activity and that are significant to the fair value of the assets or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fair value hierarchy for its financial instruments measured at fair value on a recurring basis as of June 30, 2026, was as follows (in thousands):</w:t>
      </w:r>
    </w:p>
    <w:p>
      <w:pPr>
        <w:pStyle w:val="TextBody"/>
        <w:bidi w:val="0"/>
        <w:jc w:val="left"/>
        <w:rPr/>
      </w:pPr>
      <w:r>
        <w:rPr/>
        <w:t> </w:t>
      </w:r>
    </w:p>
    <w:tbl>
      <w:tblPr>
        <w:tblW w:w="8245" w:type="dxa"/>
        <w:jc w:val="left"/>
        <w:tblInd w:w="0" w:type="dxa"/>
        <w:tblLayout w:type="fixed"/>
        <w:tblCellMar>
          <w:top w:w="28" w:type="dxa"/>
          <w:left w:w="28" w:type="dxa"/>
          <w:bottom w:w="28" w:type="dxa"/>
          <w:right w:w="28" w:type="dxa"/>
        </w:tblCellMar>
      </w:tblPr>
      <w:tblGrid>
        <w:gridCol w:w="3331"/>
        <w:gridCol w:w="146"/>
        <w:gridCol w:w="211"/>
        <w:gridCol w:w="781"/>
        <w:gridCol w:w="146"/>
        <w:gridCol w:w="146"/>
        <w:gridCol w:w="211"/>
        <w:gridCol w:w="676"/>
        <w:gridCol w:w="146"/>
        <w:gridCol w:w="146"/>
        <w:gridCol w:w="211"/>
        <w:gridCol w:w="781"/>
        <w:gridCol w:w="146"/>
        <w:gridCol w:w="146"/>
        <w:gridCol w:w="239"/>
        <w:gridCol w:w="391"/>
        <w:gridCol w:w="3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fair value hierarchy for its financial instruments measured at fair value on a recurring basis as of December 31, 2025, was as follows (in thousands):</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3331"/>
        <w:gridCol w:w="146"/>
        <w:gridCol w:w="211"/>
        <w:gridCol w:w="781"/>
        <w:gridCol w:w="146"/>
        <w:gridCol w:w="146"/>
        <w:gridCol w:w="211"/>
        <w:gridCol w:w="781"/>
        <w:gridCol w:w="146"/>
        <w:gridCol w:w="146"/>
        <w:gridCol w:w="211"/>
        <w:gridCol w:w="781"/>
        <w:gridCol w:w="146"/>
        <w:gridCol w:w="146"/>
        <w:gridCol w:w="239"/>
        <w:gridCol w:w="391"/>
        <w:gridCol w:w="3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Financial assets measured at fair value on a recurring basis consist of the Company’s cash equivalents and available-for-sale marketable securities. Cash equivalents consisted of money market funds, and available-for-sale marketable securities consisted of U.S. Treasury bills, corporate debt obligations and U.S. Government bonds. The Company obtains pricing information from its investment manager and generally determines the fair value of available-for-sale marketable securities using standard observable inputs, including reported trades, broker/dealer quotes and bids and/or offers. The Company recognizes transfers into and out of levels within the fair value hierarchy in the period in which the actual event or change in circumstances that caused the transfer occurs.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Company’s available-for-sale marketable securities consisted of debt securities issued by the U.S. Treasury and corporate debt obligations with contractual maturities on various dates within the next 12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amortized cost, unrealized gains and losses and fair value of the Company’s available-for-sale marketable securities as of June 30, 2026 (in thousands):</w:t>
      </w:r>
    </w:p>
    <w:tbl>
      <w:tblPr>
        <w:tblW w:w="10030" w:type="dxa"/>
        <w:jc w:val="left"/>
        <w:tblInd w:w="0" w:type="dxa"/>
        <w:tblLayout w:type="fixed"/>
        <w:tblCellMar>
          <w:top w:w="28" w:type="dxa"/>
          <w:left w:w="28" w:type="dxa"/>
          <w:bottom w:w="28" w:type="dxa"/>
          <w:right w:w="28" w:type="dxa"/>
        </w:tblCellMar>
      </w:tblPr>
      <w:tblGrid>
        <w:gridCol w:w="5041"/>
        <w:gridCol w:w="146"/>
        <w:gridCol w:w="211"/>
        <w:gridCol w:w="781"/>
        <w:gridCol w:w="146"/>
        <w:gridCol w:w="146"/>
        <w:gridCol w:w="335"/>
        <w:gridCol w:w="551"/>
        <w:gridCol w:w="146"/>
        <w:gridCol w:w="146"/>
        <w:gridCol w:w="270"/>
        <w:gridCol w:w="616"/>
        <w:gridCol w:w="166"/>
        <w:gridCol w:w="146"/>
        <w:gridCol w:w="211"/>
        <w:gridCol w:w="781"/>
        <w:gridCol w:w="1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$27.0 million was included in cash equivalents and $167.6 million was included in available-for-sale marketable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amortized cost, unrealized gains and losses and fair value of the Company’s available-for-sale marketable securities as of December 31, 2025 (in thousands):</w:t>
      </w:r>
    </w:p>
    <w:p>
      <w:pPr>
        <w:pStyle w:val="TextBody"/>
        <w:bidi w:val="0"/>
        <w:spacing w:before="120" w:after="283"/>
        <w:jc w:val="left"/>
        <w:rPr/>
      </w:pPr>
      <w:r>
        <w:rPr/>
        <w:t> </w:t>
      </w:r>
    </w:p>
    <w:tbl>
      <w:tblPr>
        <w:tblW w:w="10010" w:type="dxa"/>
        <w:jc w:val="left"/>
        <w:tblInd w:w="0" w:type="dxa"/>
        <w:tblLayout w:type="fixed"/>
        <w:tblCellMar>
          <w:top w:w="28" w:type="dxa"/>
          <w:left w:w="28" w:type="dxa"/>
          <w:bottom w:w="28" w:type="dxa"/>
          <w:right w:w="28" w:type="dxa"/>
        </w:tblCellMar>
      </w:tblPr>
      <w:tblGrid>
        <w:gridCol w:w="5041"/>
        <w:gridCol w:w="146"/>
        <w:gridCol w:w="211"/>
        <w:gridCol w:w="781"/>
        <w:gridCol w:w="146"/>
        <w:gridCol w:w="146"/>
        <w:gridCol w:w="335"/>
        <w:gridCol w:w="551"/>
        <w:gridCol w:w="146"/>
        <w:gridCol w:w="146"/>
        <w:gridCol w:w="335"/>
        <w:gridCol w:w="551"/>
        <w:gridCol w:w="146"/>
        <w:gridCol w:w="146"/>
        <w:gridCol w:w="211"/>
        <w:gridCol w:w="781"/>
        <w:gridCol w:w="1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(included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109,719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$122.2 million was included in cash equivalents and $155.2 million was included in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no significant facts or circumstances were present to indicate a deterioration in the creditworthiness of the issuers of the Company’s marketable securities, and the Company has no requirement or intention to sell these securities before maturity or recovery of their amortized cost basis. The Company considered the current and expected future economic and market conditions and determined that its investments were not significantly impacted by such conditions. For all securities with a fair value less than its amortized cost basis, the Company determined the decline in fair value below amortized cost basis to be immaterial and non-credit related, and therefore no allowance for losses has been recorded. During the three and six months ended June 30, 2026 and 2025, the Company did not recognize any impairment losses on its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accrued interest receivable was $1.7 million and $0.6 million, respectively. The Company’s accounting policy is to not measure an allowance for credit losses for accrued interest receivables and to write-off any uncollectible accrued interest receivable as a reversal of interest income in a timely manner, which it considers to be in the period in which the Company determines the accrued interest will not be collected. During the three and six months ended June 30, 2026 and 2025, the Company did not write off any accrued interest receivables.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Balance Sheet Components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consists of the following (in thousands):</w:t>
      </w:r>
    </w:p>
    <w:tbl>
      <w:tblPr>
        <w:tblW w:w="5717" w:type="dxa"/>
        <w:jc w:val="left"/>
        <w:tblInd w:w="0" w:type="dxa"/>
        <w:tblLayout w:type="fixed"/>
        <w:tblCellMar>
          <w:top w:w="28" w:type="dxa"/>
          <w:left w:w="28" w:type="dxa"/>
          <w:bottom w:w="28" w:type="dxa"/>
          <w:right w:w="28" w:type="dxa"/>
        </w:tblCellMar>
      </w:tblPr>
      <w:tblGrid>
        <w:gridCol w:w="2911"/>
        <w:gridCol w:w="146"/>
        <w:gridCol w:w="211"/>
        <w:gridCol w:w="631"/>
        <w:gridCol w:w="166"/>
        <w:gridCol w:w="146"/>
        <w:gridCol w:w="274"/>
        <w:gridCol w:w="821"/>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related to property and equipment was $0.3 million for each of the three months ended June 30, 2026 and 2025, and $0.5 million for each of the six months ended June 30, 2026 and 2025. The Company recognized $0.6 million in impairment charges related to capitalized software as research and development expenses in the condensed statement of operations and comprehensive loss for the six months ended June 30, 2025. No such loss was recognized for any other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Accrued Expenses and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accrued expenses and current liabilities consist of the following (in thousands):</w:t>
      </w:r>
    </w:p>
    <w:p>
      <w:pPr>
        <w:pStyle w:val="TextBody"/>
        <w:bidi w:val="0"/>
        <w:spacing w:before="120" w:after="283"/>
        <w:jc w:val="left"/>
        <w:rPr/>
      </w:pPr>
      <w:r>
        <w:rPr/>
        <w:t> </w:t>
      </w:r>
    </w:p>
    <w:tbl>
      <w:tblPr>
        <w:tblW w:w="9542" w:type="dxa"/>
        <w:jc w:val="left"/>
        <w:tblInd w:w="0" w:type="dxa"/>
        <w:tblLayout w:type="fixed"/>
        <w:tblCellMar>
          <w:top w:w="28" w:type="dxa"/>
          <w:left w:w="28" w:type="dxa"/>
          <w:bottom w:w="28" w:type="dxa"/>
          <w:right w:w="28" w:type="dxa"/>
        </w:tblCellMar>
      </w:tblPr>
      <w:tblGrid>
        <w:gridCol w:w="7036"/>
        <w:gridCol w:w="146"/>
        <w:gridCol w:w="211"/>
        <w:gridCol w:w="571"/>
        <w:gridCol w:w="146"/>
        <w:gridCol w:w="146"/>
        <w:gridCol w:w="260"/>
        <w:gridCol w:w="835"/>
        <w:gridCol w:w="191"/>
      </w:tblGrid>
      <w:tr>
        <w:trPr/>
        <w:tc>
          <w:tcPr>
            <w:tcW w:w="7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 - Contract Research Organizations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 - Contract Manufacturing Organizations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accrued expenses and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License and Collaboration Agreements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License Agreements with the National Institutes of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the Company entered into two patent license agreements (the “NIH Agreements”) with the National Institutes of Health (the “NIH”), pursuant to which the Company obtained exclusive, worldwide licenses to certain patents to use an anti-CD19 CAR in the Company’s autologous and allogeneic CAR T-cell products for the treatment of patients with autoimmune disease. The Company paid $3.3 million for acquired 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NIH Agreements, commencing in January 2023 and subsequently on January 1 of each calendar year thereafter, the Company is also required to make minimum annual royalty payments of $0.2 million, which shall be credited against any earned royalties due based on a low single-digit percentage of net sales made in a respective year. In addition, benchmark royalties following the completion of certain regulatory-and clinical-related benchmarks are due to the NIH, with the minimum cumulative royalty due for a product reaching FDA approval or foreign-equivalent approval totaling $5.7 million for the autologous patent license agreement and $1.7 million for the allogeneic patent license agreement. Additional benchmark royalties would be payable for a subsequent indication under each NIH Agreement. If the Company enters into a sublicensing agreement, it will be required to pay the NIH a sublicense royalty payment as a percentage of the fair market value of any consideration received for each sublicense granted. The sublicensing percentage starts at a high teens to low twenties percentage if clinical trials for the product have not yet begun and decreases to a mid-single-digit percentage if the product has received FDA approval or foreign-equivalent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terminated sooner, the NIH Agreements remain in effect until the last licensed patent right granted pursuant to the respective agreement expires.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of the licenses, including patent rights and know-how, was accounted for as an asset acquisition. As the acquired technology did not have an alternative use for accounting purposes, the consideration of $3.3 million was recorded as research and development expense in the statements of operations and comprehensive loss for the year ended December 31, 2021. The Company recognized $1.2 million and $0.2 million as research and development expense related to minimum annual and benchmark royalties for the six months ended June 30, 2026 and 2025, respectively. The Company did not recognize any royalties for the three months ended June 30, 2026 and 2025. No royalties were probable or payable as of June 30, 2026 and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Intellia License and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the Company entered into a License and Collaboration Agreement (the “Intellia Agreement”) with Intellia Therapeutics, Inc. (“Intellia”) to research and develop an allogeneic CD19-directed CAR cell therapy product (the “CRISPR Product”), suitable for validation through pre-clinical and clinical proof-of-concept clinical trials, including the performance of activities as agreed in the collaboration plan. Pursuant to the Intellia Agreement, Intellia granted to the Company an exclusive, worldwide, sublicensable in multiple tiers, royalty bearing license under certain of Intellia’s intellectual property to research, develop, sell and otherwise exploit the CRISPR Product. The Company is performing the majority of the work under the collaboration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consideration for the licenses granted to the Company pursuant to the Intellia Agreement, the Company issued to Intellia shares of its Series B Preferred Stock with the fair value of $7.0 million. The Company is also obligated to make aggregate milestone payments to Intellia of up to $64.5 million upon the achievement of specified development and regulatory milestones and is obligated to pay to Intellia low to mid-single-digit royalties as a percentage of annual worldwide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subject to certain adjustments, and additional potential royalties and milestones to Intellia’s licensors. The royalties are payable on a country-by-country basis, commencing upon the first commercial sale of the CRISPR Product in the applicable country and expiring upon the later of (i) 12 years after the first commercial sale or (ii) the expiration of the last-to-expire valid patent claim.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Intellia Agreement, Intellia owns rights, title and interests in and to any intellectual property developed in the course of performance under the Intellia Agreement that is not specifically directed to the CRISPR Product. The Company granted to Intellia certain non-exclusive, royalty-free, fully paid-up, worldwide licenses under the Company’s intellectual property solely to perform the activities designated to Intellia under the collaboration, and to research, develop or otherwise exploit any human therapeutic product that is developed or commercialized by Intellia, utilizes or incorporates Intellia intellectual property and that is not the CRISPR Product or any product directed to CD19 or any other B-cell antigen.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Company granted Intellia an exclusive option (the “Intellia Option”) to enter into a co-development and co-commercialization agreement with the Company for the CRISPR Product (the “Co-Co Agreement”) for a fee payable to the Company. If Intellia exercises the Intellia Option, the Company and Intellia would share equally the regulatory and clinical development expenses associated with obtaining approval of the CRISPR Product in the U.S. and would also share equally all net profits and losses from commercialization of the CRISPR Product in the U.S. If Intellia exercises the Intellia Option, no milestone payments will be due and payable from that time forward and the Company will only pay royalties on sales outside of the U.S. In addition, upon exercise of the Intellia Option, following regulatory approval of the CRISPR Product, Intellia will have exclusive commercialization rights for the CRISPR Product for U.S. administration, subject to the Company’s rights to co-promote the CRISPR Product in the U.S., and the Company will retain the sole and exclusive rights to research, develop, or otherwise exploit the CRISPR Product for rest-of-world administration and shall have sole decision-making authority in relation thereto, subject to the parties’ obligations to cooperate regarding certain development, regulatory and commercialization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term of the Co-Co Agreement, subject to certain exceptions, neither party will clinically develop or commercialize a cell therapy product directed to CD19 other than the CRISPR Product for use in the treatment or prevention of certain indications set forth in the Intellia Agreement and any additional indication that the parties mutually agree to include (any such product, a “Competitive Product”); provided, however, that (i) any products for use in any indications that are the subject of a development program or third-party collaboration as of the effective date of the Co-Co Agreement shall not be considered Competitive Products and (ii) any products for use in any additional indications that are the subject of a development program or third-party collaboration as of the date that such additional indications are included in the global development plan shall not be considered Competitive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Intellia Agreement terminates on a country-by-country basis upon the expiration of the last valid claim within Intellia’s patent rights covering the CRISPR Product within such country, unless the agreement is earlier terminated in its entirety by either party for insolvency, by either party for material breach of contract, by Intellia if the Company participates in legal action or proceeding challenging the validity or enforceability of Intellia’s patents, or by the execution of the Co-Co Agreement. The Company may terminate the Intellia Agreement in its entirety, or on a country-by-country basis, by providing a written notice after the expiration or termination of the Intellia Option. Following the expiration of the term for a given country, the licenses granted to the Company in such country will automatically become fully paid-up, perpetual, irrevocable and royalty-free 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milestone payments were probable or payable as of June 30, 2026 and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Kite License Agreement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2020, the Company entered into a License Agreement with Kite Therapeutics, Inc. ("Kite"), a subsidiary of Gilead Sciences, Inc. ("Gilead") (the "Kite Agreement"). Pursuant to the Kite Agreement, Kite granted to the Company a ten-year, co-exclusive license for the SynNotch technology primarily used in the Company’s own internal research and development programs for the treatment, diagnosis or prevention of autoimmune, inflammatory or allogeneic stem cell transplant inflammatory diseases (excluding post-transplant infectious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Kite had licensed certain of the SynNotch technology included in the Kite Agreement pursuant to that certain Amended and Restated Exclusive License Agreement, between The Regents of the University of California and Kite (as successor to Cell Design Labs, Inc.) (the “UCSF License Agreement”). The Company was responsible for all costs and payments arising under the UCSF License Agreement and as a result of activities under the Kite Agreement, including earned royalties based on a low single-digit percentage of net sales, milestone payments in an aggregate amount of up to $10.8 million and accrued interest payables.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Kite Agreement, the Company was also obligated to pay mid-teen-and mid-single-digit percentages of annual maintenance fees, minimum annual royalties and patent prosecution costs payable under the UCSF License Agreement. The Company was also obligated to pay a $6.3 million sublicensing fee under the UCSF License Agreement, which the Company agreed to offset with future milestone payments payable by Gilead under the Gilead Collaboration, Option and License Agreement, which was terminated in January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2025, the Company, Gilead and Kite agreed to settle the outstanding balance as follows: (1) a payment of $2.5 million by the Company to Kite in cash within 30 days; and (2) the remaining balance of $3.8 million to settle no later than December 31, 2026, through an issuance of the Company's common stock to Kite at market price, a cash payment, or any combination of both cash payment and common stock issuance, at the discretion of the Company. The parties also agreed to terminate the Kite Agreement and released one another from any further obligations. The Company paid $2.5 million to Kite in November 2025 and the remaining balance of $3.8 million is presented as current accrued license expense – related party in the condensed balance sheets as of June 30, 2026 and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Commitments and Contingent Liabilities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leased office and laboratory space in Emeryville, California under operating leases (the “Emeryville Lease”). On February 27, 2026, the Company entered into a lease amendment to reduce total office and lab space and add new office space in the same building, which commenced on July 2, 2026. The term of the Emeryville Lease is through August 31, 2030. Base rent payments under the lease amendment are approximately $0.2 million per month. In addition to the base rent, which includes escalating payments over the lease term, the Company pays variable costs related to operating expenses and taxes, which are recognized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has multiple leases for laboratory equipment with terms of 36 months that are accounted for as finance leases. Some of the Company’s office and lab space were leased under short-term lease agreements during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Components of the lease expense for the three and six months ended June 30, 2026 and 2025, were as follows (in thousands):</w:t>
      </w:r>
    </w:p>
    <w:p>
      <w:pPr>
        <w:pStyle w:val="TextBody"/>
        <w:bidi w:val="0"/>
        <w:spacing w:before="120" w:after="283"/>
        <w:jc w:val="left"/>
        <w:rPr/>
      </w:pPr>
      <w:r>
        <w:rPr/>
        <w:t> </w:t>
      </w:r>
    </w:p>
    <w:tbl>
      <w:tblPr>
        <w:tblW w:w="8271" w:type="dxa"/>
        <w:jc w:val="left"/>
        <w:tblInd w:w="0" w:type="dxa"/>
        <w:tblLayout w:type="fixed"/>
        <w:tblCellMar>
          <w:top w:w="28" w:type="dxa"/>
          <w:left w:w="28" w:type="dxa"/>
          <w:bottom w:w="28" w:type="dxa"/>
          <w:right w:w="28" w:type="dxa"/>
        </w:tblCellMar>
      </w:tblPr>
      <w:tblGrid>
        <w:gridCol w:w="3111"/>
        <w:gridCol w:w="146"/>
        <w:gridCol w:w="280"/>
        <w:gridCol w:w="559"/>
        <w:gridCol w:w="193"/>
        <w:gridCol w:w="193"/>
        <w:gridCol w:w="280"/>
        <w:gridCol w:w="758"/>
        <w:gridCol w:w="146"/>
        <w:gridCol w:w="146"/>
        <w:gridCol w:w="235"/>
        <w:gridCol w:w="637"/>
        <w:gridCol w:w="162"/>
        <w:gridCol w:w="162"/>
        <w:gridCol w:w="235"/>
        <w:gridCol w:w="637"/>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6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undiscounted lease obligations under the Company’s operating and finance leases were $10.5 million and $0.1 million, respectively, as of June 30, 2026.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license agreements with the NIH, Intellia and Kite, pursuant to which the Company is required to pay certain milestone payments contingent upon the achievement of specific development and regulatory events, and royalties on sales of products developed under these agreements (See Note 6). </w:t>
      </w:r>
    </w:p>
    <w:p>
      <w:pPr>
        <w:pStyle w:val="TextBody"/>
        <w:bidi w:val="0"/>
        <w:spacing w:before="360" w:after="283"/>
        <w:jc w:val="left"/>
        <w:rPr>
          <w:rFonts w:ascii="Times New Roman" w:hAnsi="Times New Roman"/>
          <w:sz w:val="20"/>
        </w:rPr>
      </w:pPr>
      <w:r>
        <w:rPr>
          <w:rFonts w:ascii="Times New Roman" w:hAnsi="Times New Roman"/>
          <w:b/>
          <w:i/>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contracts in the normal course of business with clinical research organizations (“CROs”) for clinical trials, with clinical manufacturing organizations (“CMOs”) for clinical supplies manufacturing and with other vendors for preclinical studies, supplies and other products and services for operating purposes. These agreements generally provide for termination at the request of either party generally with less than one-year notice. The Company did not expect any of these agreements to be terminated and did not have any non-cancellable obligations under these agreements as of June 30,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Legal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is required to determine both probability and the estimated amount. Legal fees and other costs associated with such proceedings are expensed as incurred.</w:t>
      </w:r>
    </w:p>
    <w:p>
      <w:pPr>
        <w:pStyle w:val="TextBody"/>
        <w:bidi w:val="0"/>
        <w:spacing w:before="120" w:after="283"/>
        <w:jc w:val="left"/>
        <w:rPr>
          <w:rFonts w:ascii="Times New Roman" w:hAnsi="Times New Roman"/>
          <w:sz w:val="20"/>
        </w:rPr>
      </w:pPr>
      <w:r>
        <w:rPr>
          <w:rFonts w:ascii="Times New Roman" w:hAnsi="Times New Roman"/>
          <w:color w:val="1D252D"/>
          <w:sz w:val="20"/>
        </w:rPr>
        <w:t>O</w:t>
      </w:r>
      <w:r>
        <w:rPr>
          <w:rFonts w:ascii="Times New Roman" w:hAnsi="Times New Roman"/>
          <w:color w:val="000000"/>
          <w:sz w:val="20"/>
        </w:rPr>
        <w:t xml:space="preserve">n December 9, 2024, a shareholder class action complaint was filed in the United States District Court for the Northern District of California against the Company, certain of its current and former officers and directors, and the underwriters of the IPO. Per a stipulated schedule, an amended complaint was filed on May 2, 2025 (the “Amended Complaint”). The Amended Complaint alleges that the registration statement on Form S-1 filed in connection with the IPO and the prospectus contained therein contained material misstatements or omissions in violation of federal securities laws. Pursuant to a stipulated order setting a response schedule, on June 26, 2025, the defendants filed a motion to dismiss all the claims in the Amended Complaint, with the plaintiff filing an opposition on August 18, 2025. The defendants filed their reply brief in support of the motion to dismiss on September 26, 2025. Following oral argument, on March 23, 2026, the court issued an order granting defendants’ motion to dismiss on all claims, with leave to amend the complaint. On April 20, 2026, plaintiff filed another amended complaint alleging the same claims under the Securities Act of 1933, as amended. Defendants subsequently filed a motion to dismiss the entire second amended complaint on May 19, 2026. Plaintiff filed an opposition to the defendants’ motion to dismiss on June 17, 2026. Defendants filed a reply brief in support of the motion to dismiss on July 2, 2026. A hearing on the motion to dismiss is scheduled for September 3, 2026.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on May 14, 2025, a stockholder derivative complaint was filed in the United States District Court for the </w:t>
      </w:r>
      <w:r>
        <w:rPr>
          <w:rFonts w:ascii="Times New Roman" w:hAnsi="Times New Roman"/>
          <w:color w:val="1D252D"/>
          <w:sz w:val="20"/>
        </w:rPr>
        <w:t xml:space="preserve">Northern District of California against certain of the Company's current and former officers and directors which was captioned </w:t>
      </w:r>
      <w:r>
        <w:rPr>
          <w:rFonts w:ascii="Times New Roman" w:hAnsi="Times New Roman"/>
          <w:i/>
          <w:color w:val="1D252D"/>
          <w:sz w:val="20"/>
        </w:rPr>
        <w:t>Perez v. Seidenberg, et al.,</w:t>
      </w:r>
      <w:r>
        <w:rPr>
          <w:rFonts w:ascii="Times New Roman" w:hAnsi="Times New Roman"/>
          <w:color w:val="1D252D"/>
          <w:sz w:val="20"/>
        </w:rPr>
        <w:t xml:space="preserve"> Case No. 3:25-cv-04163-</w:t>
      </w:r>
      <w:r>
        <w:rPr>
          <w:rFonts w:ascii="Times New Roman" w:hAnsi="Times New Roman"/>
          <w:i/>
          <w:color w:val="1D252D"/>
          <w:sz w:val="20"/>
        </w:rPr>
        <w:t>PCP</w:t>
      </w:r>
      <w:r>
        <w:rPr>
          <w:rFonts w:ascii="Times New Roman" w:hAnsi="Times New Roman"/>
          <w:color w:val="1D252D"/>
          <w:sz w:val="20"/>
        </w:rPr>
        <w:t xml:space="preserve"> (the “Perez Action”). On May 22, 2025, another stockholder derivative complaint was filed alleging the same claims against the same individual defendants captioned </w:t>
      </w:r>
      <w:r>
        <w:rPr>
          <w:rFonts w:ascii="Times New Roman" w:hAnsi="Times New Roman"/>
          <w:i/>
          <w:color w:val="1D252D"/>
          <w:sz w:val="20"/>
        </w:rPr>
        <w:t>McDaniel v. Seidenberg, et al.</w:t>
      </w:r>
      <w:r>
        <w:rPr>
          <w:rFonts w:ascii="Times New Roman" w:hAnsi="Times New Roman"/>
          <w:color w:val="1D252D"/>
          <w:sz w:val="20"/>
        </w:rPr>
        <w:t xml:space="preserve">, Case No. 3:25-cv-04393-PCP (the “McDaniel Action”, and together with the Perez Action, the “Derivative Actions”). The complaints filed in the Derivative Actions allege claims related to the allegations raised in the Amended Complaint. On June 2, 2025, the court entered a stipulation and order to stay the Perez Action pending the disposition of a motion to dismiss the Amended Complaint in the related securities class action. On June 25, 2025, the court entered a stipulation and order to consolidate the Derivative Actions as </w:t>
      </w:r>
      <w:r>
        <w:rPr>
          <w:rFonts w:ascii="Times New Roman" w:hAnsi="Times New Roman"/>
          <w:i/>
          <w:color w:val="1D252D"/>
          <w:sz w:val="20"/>
        </w:rPr>
        <w:t>In re Kyverna Therapeutics Derivative Litigation</w:t>
      </w:r>
      <w:r>
        <w:rPr>
          <w:rFonts w:ascii="Times New Roman" w:hAnsi="Times New Roman"/>
          <w:color w:val="1D252D"/>
          <w:sz w:val="20"/>
        </w:rPr>
        <w:t>, Case No. 5:25-cv-04163-PCP. Finally, on July 22, 2025, the court entered a stipulation and order staying the consolidated derivative action pending the disposition of the motion to dismiss the Amended Complaint in the related securities class action.</w:t>
      </w:r>
    </w:p>
    <w:p>
      <w:pPr>
        <w:pStyle w:val="TextBody"/>
        <w:bidi w:val="0"/>
        <w:spacing w:before="120" w:after="283"/>
        <w:jc w:val="left"/>
        <w:rPr>
          <w:rFonts w:ascii="Times New Roman" w:hAnsi="Times New Roman"/>
          <w:sz w:val="20"/>
        </w:rPr>
      </w:pPr>
      <w:r>
        <w:rPr>
          <w:rFonts w:ascii="Times New Roman" w:hAnsi="Times New Roman"/>
          <w:color w:val="1D252D"/>
          <w:sz w:val="20"/>
        </w:rPr>
        <w:t>The Company believes it has good and substantial defenses to the claims in the Amended Complaint and the Derivative Actions, but there is no guara</w:t>
      </w:r>
      <w:r>
        <w:rPr>
          <w:rFonts w:ascii="Times New Roman" w:hAnsi="Times New Roman"/>
          <w:color w:val="000000"/>
          <w:sz w:val="20"/>
        </w:rPr>
        <w:t>ntee that it will be successful in these efforts. The Company is unable to determine whether any loss ultimately will occur or to estimate the range of such loss; therefore, no amount of loss has been accrued in the accompanying condensed statements of operations and comprehensive loss for the three and six months ended June 30, 2026. The Company did not have any accruals for the matters described above on its condensed balance sheets as of June 30, 2026 and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June 30, 2026 and December 31, 2025, the Company did not have any material indemnification claims that were probable or reasonably possible.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Term Loan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On October 31, 2025, the Company entered into a Loan and Security Agreement (the “Loan and Security Agreement”) with Oxford Finance LLC (“Oxford Finance”) as collateral agent (the “Collateral Agent”), and certain lenders from time to time party thereto (the “Lenders”). The Loan and Security Agreement provides a term loan facility (the “Loan Facility”) of up to an aggregate principal amount of $150.0 million in senior secured credit facilities. The Loan Facility provides for term loans to be funded in multiple tranches, subject to the satisfaction of specified conditions. The term loans include (i) up to $40.0 million of Term A Loans available during the initial draw period of up to June 30, 2026, (ii) a single Term B Loan of $5.0 million to $20.0 million available upon achievement of specified clinical milestones to be drawn by June 30, 2026, which date is subject to an extended deadline to the extent that the full remaining Term A Loans are drawn on as described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below, (iii) up to $40.0 million of Term C Loans available upon achievement of specified revenue and clinical milestones to be drawn by December 31, 2027, which date is subject to an extended deadline to the extent that the full remaining Term A Loans are drawn on as described below and (iv) an additional discretionary Term D Loan of up to $50.0 million upon the Company’s request, subject to the Lenders’ approval. On November 3, 2025, the Company drew $25.0 million from funds available from the first tranche of Term A Loans.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July 8, 2026, the Company, the Collateral Agent, and the Lenders entered into an amendment to the Loan and Security Agreement (the “Amendment”), pursuant to which the parties agreed, among other things, to extend the availability of the remaining $15.0 million of Term A Loans through December 31, 2026, in exchange for the Company paying an upfront cash fee of $187,500. In addition, if the Company does not draw the full remaining $15.0 million of Term A Loans by December 31, 2026, the Company will pay the Lenders a non-utilization fee equal to 1.0% of the aggregate undrawn amount of the Term A Loans.</w:t>
      </w:r>
    </w:p>
    <w:p>
      <w:pPr>
        <w:pStyle w:val="TextBody"/>
        <w:bidi w:val="0"/>
        <w:spacing w:before="0" w:after="240"/>
        <w:jc w:val="left"/>
        <w:rPr>
          <w:rFonts w:ascii="Times New Roman" w:hAnsi="Times New Roman"/>
          <w:sz w:val="20"/>
        </w:rPr>
      </w:pPr>
      <w:r>
        <w:rPr>
          <w:rFonts w:ascii="Times New Roman" w:hAnsi="Times New Roman"/>
          <w:color w:val="000000"/>
          <w:sz w:val="20"/>
        </w:rPr>
        <w:t>The Amendment also provides that, contingent upon the Company drawing the full remaining $15.0 million of Term A Loans, the following additional modifications to the Loan Facility will become effective: (i) the availability of the single Term B Loan of $5.0 million to $20.0 million shall be extended through the earlier of September 30, 2027 and the 90</w:t>
      </w:r>
      <w:r>
        <w:rPr>
          <w:rFonts w:ascii="Times New Roman" w:hAnsi="Times New Roman"/>
          <w:color w:val="000000"/>
          <w:sz w:val="13"/>
        </w:rPr>
        <w:t>th</w:t>
      </w:r>
      <w:r>
        <w:rPr>
          <w:rFonts w:ascii="Times New Roman" w:hAnsi="Times New Roman"/>
          <w:color w:val="000000"/>
          <w:sz w:val="20"/>
        </w:rPr>
        <w:t xml:space="preserve"> day following the date of achievement of a clinical milestone; (ii) the Company shall pay the Lenders a non-utilization fee of 1.0% of the aggregate undrawn amount of the Term B Loan if it does not draw on the Term B Loan by the end of the draw period for the Term B Loan; (iii) the Term C Loans shall be available in two tranches of $20.0 million, with the first tranche being available subject to achievement of a revenue milestone through the earlier of March 31, 2028 and the 90</w:t>
      </w:r>
      <w:r>
        <w:rPr>
          <w:rFonts w:ascii="Times New Roman" w:hAnsi="Times New Roman"/>
          <w:color w:val="000000"/>
          <w:sz w:val="13"/>
        </w:rPr>
        <w:t>th</w:t>
      </w:r>
      <w:r>
        <w:rPr>
          <w:rFonts w:ascii="Times New Roman" w:hAnsi="Times New Roman"/>
          <w:color w:val="000000"/>
          <w:sz w:val="20"/>
        </w:rPr>
        <w:t xml:space="preserve"> day following the date of the achievement of such revenue milestone and the second tranche being available subject to achievement of a clinical milestone through the earlier of March 31, 2028 and the 90</w:t>
      </w:r>
      <w:r>
        <w:rPr>
          <w:rFonts w:ascii="Times New Roman" w:hAnsi="Times New Roman"/>
          <w:color w:val="000000"/>
          <w:sz w:val="13"/>
        </w:rPr>
        <w:t>th</w:t>
      </w:r>
      <w:r>
        <w:rPr>
          <w:rFonts w:ascii="Times New Roman" w:hAnsi="Times New Roman"/>
          <w:color w:val="000000"/>
          <w:sz w:val="20"/>
        </w:rPr>
        <w:t xml:space="preserve"> day following the date of achievement of such clinical milestone; and (iv) the Company shall become subject to minimum revenue covenants beginning with the quarter ending June 30, 2027, September 30, 2027, or December 31, 2027, depending upon the aggregate amount of gross cash proceeds the Company receives from other capital sources during certain periods. If the Company does not draw the full remaining $15.0 million of Term A Loans, then the additional modifications described above will not be effective and the original terms of the Loan Facility will continue to apply.</w:t>
      </w:r>
    </w:p>
    <w:p>
      <w:pPr>
        <w:pStyle w:val="TextBody"/>
        <w:bidi w:val="0"/>
        <w:jc w:val="left"/>
        <w:rPr>
          <w:rFonts w:ascii="Times New Roman" w:hAnsi="Times New Roman"/>
          <w:color w:val="000000"/>
          <w:sz w:val="20"/>
        </w:rPr>
      </w:pPr>
      <w:r>
        <w:rPr>
          <w:rFonts w:ascii="Times New Roman" w:hAnsi="Times New Roman"/>
          <w:color w:val="000000"/>
          <w:sz w:val="20"/>
        </w:rPr>
        <w:t>Outstanding borrowings under the Loan Facility bear interest at a floating rate equal to the greater of (i) one-month CME Term Secured Overnight Funding Rate (“SOFR”) administered by CME Group Benchmark Administrator or (ii) 3.75%, plus a margin of 5.00%, subject to a minimum interest rate floor of 8.75%. Interest is computed on the basis of a 360-day year and is payable monthly. The Company is required to make monthly interest-only payments through the applicable amortization date. Thereafter, principal is repaid in equal monthly installments over either 24 months or 12 months, depending on whether specified revenue milestones are achieved. If such milestones are not achieved, principal amortization will begin on November 1, 2028 and will be payable in equal monthly installments over a 24-month period. If the milestones are achieved, principal amortization will begin on November 1, 2029 and will be payable in equal monthly installments over a 12-month period. All outstanding principal and accrued interest are due and payable at maturity on October 1, 2030.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under the Loan Facility are secured by a first-priority security interest in substantially all of the Company’s assets, including its intellectual property, subject to customary exceptions. The Loan and Security Agreement contains customary affirmative and negative covenants, including covenants relating to reporting requirements, maintenance of insurance, payment of taxes, limitations on indebtedness, liens, asset dispositions, mergers, and dividends. Beginning on February 28, 2027, the Company is required to maintain minimum unrestricted cash balances in controlled accounts equal to a specified percentage of the outstanding term loan principal, with such percentage decreasing upon achievement of specified regulatory approvals and revenue milestones. The Loan Facility also includes minimum revenue covenants beginning in 2027, subject to certain cash and market capitalization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Loan and Security Agreement includes customary events of default, including payment defaults, covenant violations, insolvency events, material adverse changes, delisting from Nasdaq, and certain judgments. Upon the occurrence of an event of default, the Lenders may, among other remedies, declare all outstanding obligations immediately due and payable and exercise remedies against the collateral. The Company was in compliance with applicable covenants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term loan balance was $24.9 million, which reflects the $25.0 million borrowed under the Term A Loans net of unamortized debt discount and debt issuance costs of $0.1 million. The Company recognized $0.7 million and $1.3 million of interest expense for the three and six months ended June 30, 2026, respectively. As of June 30, 2026, the Company had $0.2 million accrued interest, which is presented in the other accrued expenses and current liabilities. The Company also recognized less than $0.1 million and $0.1 million for the three and six months ended June 30,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respectively, related to debt issuance costs allocated to undrawn term loans in prepaid expenses and other current assets, which were fully amortized to interest expense as of June 30, 2026. At June 30, 2026, the effective interest rate was 10.8%.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common stock shares reserved for future issuance were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812"/>
        <w:gridCol w:w="346"/>
        <w:gridCol w:w="146"/>
        <w:gridCol w:w="1036"/>
        <w:gridCol w:w="146"/>
        <w:gridCol w:w="146"/>
        <w:gridCol w:w="146"/>
        <w:gridCol w:w="1036"/>
        <w:gridCol w:w="391"/>
      </w:tblGrid>
      <w:tr>
        <w:trPr/>
        <w:tc>
          <w:tcPr>
            <w:tcW w:w="68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 awards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10,590,212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9,330,722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awards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1,282,404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grants under the 2024 Equity Incentive Plan and 2024 Inducement Equity Incentive Plan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4,545,909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2,944,739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grants under the 2024 Employee Stock Purchase Plan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shares reserved for future issuance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18,089,043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14,401,865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Shelf Registration Statement and the ATM Facility</w:t>
      </w:r>
    </w:p>
    <w:p>
      <w:pPr>
        <w:pStyle w:val="TextBody"/>
        <w:bidi w:val="0"/>
        <w:spacing w:before="0" w:after="120"/>
        <w:jc w:val="left"/>
        <w:rPr>
          <w:rFonts w:ascii="Times New Roman" w:hAnsi="Times New Roman"/>
          <w:sz w:val="20"/>
        </w:rPr>
      </w:pPr>
      <w:r>
        <w:rPr>
          <w:rFonts w:ascii="Times New Roman" w:hAnsi="Times New Roman"/>
          <w:color w:val="000000"/>
          <w:sz w:val="20"/>
        </w:rPr>
        <w:t>On March 27, 2025, the Company filed a shelf registration statement on Form S-3 (the “Prior Registration Statement”), covering the offer and sale from time to time of up to $250.0 million in aggregate offering price of shares of its common stock, shares of its preferred stock, debt securities, warrants, rights, units and/or depositary shares. The Prior Registration Statement was declared effective by the SEC on April 15, 2025. The Prior Registration Statement included a sales agreement prospectus (the “Prior ATM Prospectus”), covering the offer and sale from time to time through or to Jefferies, LLC (“Jefferies”), as sales agent, of up to $50.0 million in aggregate offering price of shares of the Company’s common stock under an Open Market Sale Agreement</w:t>
      </w:r>
      <w:r>
        <w:rPr>
          <w:rFonts w:ascii="Times New Roman" w:hAnsi="Times New Roman"/>
          <w:color w:val="000000"/>
          <w:sz w:val="13"/>
        </w:rPr>
        <w:t>SM</w:t>
      </w:r>
      <w:r>
        <w:rPr>
          <w:rFonts w:ascii="Times New Roman" w:hAnsi="Times New Roman"/>
          <w:color w:val="000000"/>
          <w:sz w:val="20"/>
        </w:rPr>
        <w:t xml:space="preserve"> entered into with Jefferies on March 27, 2025 (the "ATM Agreement"). In November 2025, the Company sold 2,477,100 shares of its common stock under the Prior ATM Prospectus for net proceeds of $16.4 million after deducting the sales agent’s fees.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March 26, 2026, the Company filed a new shelf registration statement on Form S-3 (the “2026 Registration Statement”), covering the offer and sale from time to time of up to $300.0 million in aggregate offering price of shares of its common stock, shares of its preferred stock, debt securities, warrants, rights, units and/or depositary shares. The 2026 Registration Statement was declared effective by the SEC on April 2, 2026, and the Prior Registration Statement, including the Prior ATM Prospectus, ceased to be available for further utilization at that time. The terms of any offering under the 2026 Registration Statement will be established at the time of such offering and will be described in a prospectus supplement to the 2026 Registration Statement filed with the SEC prior to the completion of any such offering.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2026 Registration Statement includes a sales agreement prospectus (the “2026 ATM Prospectus”), covering the offer and sale from time to time through or to Jefferies, as sales agent, of up to $100.0 million in aggregate offering price of shares of the Company’s common stock under the ATM Agreement (the "ATM Facility"). During the quarter ended June 30, 2026, the Company sold 426,038 shares of its common stock under the 2026 ATM Prospectus for net proceeds of $3.6 million after deducting the sales agent fees.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2026, $200.0 million remains available and unallocated under the 2026 Registration Statement and $96.3 million remains available and allocated for sale under the ATM Facility.</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December 2025 Offering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December 17, 2025, the Company entered into an underwriting agreement (the “Underwriting Agreement”) with the several underwriters named therein (the “Underwriters”), relating to the issuance and sale of an aggregate of 13,333,333 shares of the Company’s common stock at $7.50 per share under the Prior Registration Statement. The offering closed on December 18, 2025. Pursuant to the Underwriting Agreement, the Underwriters were granted a 30-day option to purchase up to 1,999,999 additional shares (the “Option Shares”) of common stock, which was partially exercised and the underwriters purchased 704,499 shares of common stock on December 23, 2025. Total proceeds of the transaction, including the Option Shares were approximately $98.7 million, net of underwriting discounts and issuance costs. The Prior Registration Statement was superseded by the 2026 Registration Statement once the 2026 Registration Statement was declared effective on April 2,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Company’s board of directors adopted, and stockholders approved, the Company’s 2024 Equity Incentive Plan (the “2024 Plan”), which became effective on February 6, 2024. The 2024 Plan superseded the Company’s 2019 Equity Incentive Plan (the “2019 Plan”). No share awards can be granted under the 2019 Plan from the effective date of the 2024 Plan. Shares subject to outstanding equity awards granted under the 2019 Plan may be added to the 2024 Plan as such shares become available from time to time if awards terminate, expire, or lapse for any reason without the delivery of shares, or are reacquired or withheld (or not issued) to satisfy a tax withholding obligation or the purchase or exercise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initially reserved 4,215,000 shares of common stock for future issuance under the 2024 Plan. In addition, up to 3,960,713 shares issued and outstanding under the 2019 Plan may be added to the 2024 Plan as such shares become available from time to time if awards terminate, expire, or lapse for any reason without the delivery of shares, or are reacquired or withheld (or not issued) to satisfy a tax withholding obligation or the purchase or exercise price. The 2024 Plan also provides that the number of shares reserved and available for issuance will automatically increase each January 1, beginning on January 1, 2025 and ending on January 1, 2034, by an amount equal to the lesser of (i) 5% of the shares of common stock outstanding on the last day of the immediately preceding fiscal year, and (ii) such smaller number of shares of common stock as determined by the Company’s board of directors. In accordance with the foregoing, 2,160,745 and 3,019,494 shares of common stock were added to the shares reserved for future issuance under the 2024 Plan on January 1, 2025 and 2026, respectively. No more than 12,645,000 shares of common stock may be issued upon the exercise of incentive stock options under the 2024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incentive stock options, nonstatutory stock options and restricted stock units had been granted under the 2024 Plan. As of June 30, 2026, 4,535,168 shares of the Company’s common stock remained available for future grant under the 2024 Plan.</w:t>
      </w:r>
    </w:p>
    <w:p>
      <w:pPr>
        <w:pStyle w:val="TextBody"/>
        <w:bidi w:val="0"/>
        <w:spacing w:before="120" w:after="283"/>
        <w:jc w:val="left"/>
        <w:rPr>
          <w:rFonts w:ascii="Times New Roman" w:hAnsi="Times New Roman"/>
          <w:sz w:val="20"/>
        </w:rPr>
      </w:pPr>
      <w:r>
        <w:rPr>
          <w:rFonts w:ascii="Times New Roman" w:hAnsi="Times New Roman"/>
          <w:color w:val="000000"/>
          <w:sz w:val="20"/>
        </w:rPr>
        <w:t>In January 2024, the Company’s board of directors and stockholders adopted the Company’s 2024 Employee Stock Purchase Plan (the “ESPP”), which became effective on February 6, 2024. As of June 30, 2026, 1,266,000 shares of common stock were reserved for future issuance under the ESPP. The number of shares of common stock reserved for issuance under the ESPP may not exceed 844,000 shares of common stock, plus the number of shares of common stock that will be automatically increased each January 1, beginning on January 1, 2025 and ending on January 1, 2034 by an amount equal to the lesser of (i) 1.00% of the shares of common stock outstanding on December 31</w:t>
      </w:r>
      <w:r>
        <w:rPr>
          <w:rFonts w:ascii="Times New Roman" w:hAnsi="Times New Roman"/>
          <w:color w:val="000000"/>
          <w:sz w:val="13"/>
        </w:rPr>
        <w:t>st</w:t>
      </w:r>
      <w:r>
        <w:rPr>
          <w:rFonts w:ascii="Times New Roman" w:hAnsi="Times New Roman"/>
          <w:color w:val="000000"/>
          <w:sz w:val="20"/>
        </w:rPr>
        <w:t xml:space="preserve"> of the immediately preceding calendar year and (ii) 422,000 shares of common stock. The ESPP allows an eligible employee to purchase shares of our common stock at a discount through payroll deductions of up to 15% of the employee’s eligible compensation. At the end of each purchase period, employees are able to purchase shares at 85% of the lower of the fair market value of our common stock at the beginning of the offering period or at the end of each applicable offering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Company adopted the 2024 Inducement Equity Incentive Plan (as amended and restated in January 2026, the “Inducement Plan”). On January 29, 2026, the Company's compensation committee of the board of directors approved an increase of the maximum number of shares available for grant under the Inducement Plan by 1,000,000 shares to an aggregate of 5,000,000 shares of the Company's common stock. As of June 30, 2026, 4,989,259 shares were granted and 10,741 shares were available for future grant under the Inducement Plan.</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jc w:val="left"/>
        <w:rPr>
          <w:rFonts w:ascii="Times New Roman" w:hAnsi="Times New Roman"/>
          <w:color w:val="000000"/>
          <w:sz w:val="20"/>
        </w:rPr>
      </w:pPr>
      <w:r>
        <w:rPr>
          <w:rFonts w:ascii="Times New Roman" w:hAnsi="Times New Roman"/>
          <w:color w:val="000000"/>
          <w:sz w:val="20"/>
        </w:rPr>
        <w:t>A summary of option activity under the 2019 Plan, 2024 Plan and the Inducement Plan is as follows:</w:t>
      </w:r>
    </w:p>
    <w:p>
      <w:pPr>
        <w:pStyle w:val="TextBody"/>
        <w:bidi w:val="0"/>
        <w:spacing w:before="120" w:after="283"/>
        <w:jc w:val="left"/>
        <w:rPr/>
      </w:pPr>
      <w:r>
        <w:rPr/>
        <w:t> </w:t>
      </w:r>
    </w:p>
    <w:tbl>
      <w:tblPr>
        <w:tblW w:w="8528" w:type="dxa"/>
        <w:jc w:val="left"/>
        <w:tblInd w:w="0" w:type="dxa"/>
        <w:tblLayout w:type="fixed"/>
        <w:tblCellMar>
          <w:top w:w="28" w:type="dxa"/>
          <w:left w:w="28" w:type="dxa"/>
          <w:bottom w:w="28" w:type="dxa"/>
          <w:right w:w="28" w:type="dxa"/>
        </w:tblCellMar>
      </w:tblPr>
      <w:tblGrid>
        <w:gridCol w:w="3301"/>
        <w:gridCol w:w="146"/>
        <w:gridCol w:w="146"/>
        <w:gridCol w:w="916"/>
        <w:gridCol w:w="166"/>
        <w:gridCol w:w="146"/>
        <w:gridCol w:w="271"/>
        <w:gridCol w:w="585"/>
        <w:gridCol w:w="146"/>
        <w:gridCol w:w="146"/>
        <w:gridCol w:w="255"/>
        <w:gridCol w:w="736"/>
        <w:gridCol w:w="146"/>
        <w:gridCol w:w="146"/>
        <w:gridCol w:w="217"/>
        <w:gridCol w:w="668"/>
        <w:gridCol w:w="3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 xml:space="preserve">Value </w:t>
              <w:br/>
              <w:t>(in</w:t>
              <w:br/>
              <w:t>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9,330,722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2,886,218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Options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10,590,212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3,572,604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10,590,212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Aggregate intrinsic value represents the difference between the fair value of the underlying common stock and the exercise price. The weighted-average grant date fair value of options granted for the three and six months ended June 30, 2026 was $6.53 and $6.58, respectively. The total fair value of options that vested during the three and six months ended June 30, 2026 was $3.9 million and $6.6 million, respectively. The total fair value of options that vested during the three and six months ended June 30, 2025 was $1.7 million and $4.6 million, respectively. The intrinsic value of options exercised during the three and six months ended June 30, 2026 was $2.5 million and $3.1 million, respectively, and is calculated as the difference between the exercise price and the fair value of common stock as of the exercise date. As of June 30, 2026, total unrecognized stock-based compensation expense related to issued options was $33.0 million, which is expected to be recognized over a weighted-average period of 2.9 years.</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jc w:val="left"/>
        <w:rPr/>
      </w:pPr>
      <w:r>
        <w:rPr/>
        <w:t> </w:t>
      </w:r>
    </w:p>
    <w:tbl>
      <w:tblPr>
        <w:tblW w:w="6440" w:type="dxa"/>
        <w:jc w:val="left"/>
        <w:tblInd w:w="0" w:type="dxa"/>
        <w:tblLayout w:type="fixed"/>
        <w:tblCellMar>
          <w:top w:w="28" w:type="dxa"/>
          <w:left w:w="28" w:type="dxa"/>
          <w:bottom w:w="28" w:type="dxa"/>
          <w:right w:w="28" w:type="dxa"/>
        </w:tblCellMar>
      </w:tblPr>
      <w:tblGrid>
        <w:gridCol w:w="2701"/>
        <w:gridCol w:w="146"/>
        <w:gridCol w:w="179"/>
        <w:gridCol w:w="1141"/>
        <w:gridCol w:w="166"/>
        <w:gridCol w:w="146"/>
        <w:gridCol w:w="550"/>
        <w:gridCol w:w="1220"/>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(344,819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1,662,621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restricted stock units (“RSUs”) vest over a four-year period. The estimated aggregate grant-date fair value of RSUs granted during the three and six months ended June 30, 2026 was $2.5 million and $9.4 million. As of June 30, 2026, total unrecognized compensation expense for RSUs was $10.9 million, which is expected to be recognized over a weighted-average period of 3.4 years.</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Performance Restricted Stock Units</w:t>
      </w:r>
    </w:p>
    <w:p>
      <w:pPr>
        <w:pStyle w:val="TextBody"/>
        <w:bidi w:val="0"/>
        <w:jc w:val="left"/>
        <w:rPr>
          <w:rFonts w:ascii="Times New Roman" w:hAnsi="Times New Roman"/>
          <w:color w:val="000000"/>
          <w:sz w:val="20"/>
        </w:rPr>
      </w:pPr>
      <w:r>
        <w:rPr>
          <w:rFonts w:ascii="Times New Roman" w:hAnsi="Times New Roman"/>
          <w:color w:val="000000"/>
          <w:sz w:val="20"/>
        </w:rPr>
        <w:t>During the three and six months ended June 30, 2026, the Company granted performance restricted stock units (“PRSUs”) for zero and 24,301 shares with a weighted-average grant date fair value per share of zero and $8.12, respectively. These PRSU shares vest in two tranches upon the attainment of certain target closing prices per share of the Company’s common stock. The Company used a Monte Carlo simulation model to estimate the grant date fair value of the PRSUs with the following assumptions: common stock fair value of $8.23, which was the closing market price of the Company’s common stock at the grant date, volatility of 105.00%, risk free rate of 4.19%, and vesting term of 10 years. Total estimated fair value of $0.2 million will be recognized as stock-based compensation expense over the derived requisite service period of 0.7 years and 1.5 years from the grant date for each of the two tranches, respectively.</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As of June 30, 2026, total unrecognized compensation expense for PRSUs was $0.1 million and is expected to be recognized over the weighted-average remaining term of 0.6 years. </w:t>
        <w:br/>
        <w:t> </w:t>
      </w:r>
    </w:p>
    <w:tbl>
      <w:tblPr>
        <w:tblW w:w="7430" w:type="dxa"/>
        <w:jc w:val="left"/>
        <w:tblInd w:w="0" w:type="dxa"/>
        <w:tblLayout w:type="fixed"/>
        <w:tblCellMar>
          <w:top w:w="28" w:type="dxa"/>
          <w:left w:w="28" w:type="dxa"/>
          <w:bottom w:w="28" w:type="dxa"/>
          <w:right w:w="28" w:type="dxa"/>
        </w:tblCellMar>
      </w:tblPr>
      <w:tblGrid>
        <w:gridCol w:w="2701"/>
        <w:gridCol w:w="146"/>
        <w:gridCol w:w="340"/>
        <w:gridCol w:w="1970"/>
        <w:gridCol w:w="166"/>
        <w:gridCol w:w="146"/>
        <w:gridCol w:w="550"/>
        <w:gridCol w:w="1220"/>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Performance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 PRSUs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 PRSUs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options granted was estimated using the Black-Scholes valuation model using the following assumptions for the three and six months ended June 30, 2026 and 2025, respectively: </w:t>
      </w:r>
    </w:p>
    <w:p>
      <w:pPr>
        <w:pStyle w:val="TextBody"/>
        <w:bidi w:val="0"/>
        <w:spacing w:before="120" w:after="283"/>
        <w:jc w:val="left"/>
        <w:rPr/>
      </w:pPr>
      <w:r>
        <w:rPr/>
        <w:t> </w:t>
      </w:r>
    </w:p>
    <w:tbl>
      <w:tblPr>
        <w:tblW w:w="8204" w:type="dxa"/>
        <w:jc w:val="left"/>
        <w:tblInd w:w="0" w:type="dxa"/>
        <w:tblLayout w:type="fixed"/>
        <w:tblCellMar>
          <w:top w:w="28" w:type="dxa"/>
          <w:left w:w="28" w:type="dxa"/>
          <w:bottom w:w="28" w:type="dxa"/>
          <w:right w:w="28" w:type="dxa"/>
        </w:tblCellMar>
      </w:tblPr>
      <w:tblGrid>
        <w:gridCol w:w="2331"/>
        <w:gridCol w:w="146"/>
        <w:gridCol w:w="1216"/>
        <w:gridCol w:w="146"/>
        <w:gridCol w:w="1306"/>
        <w:gridCol w:w="146"/>
        <w:gridCol w:w="1216"/>
        <w:gridCol w:w="146"/>
        <w:gridCol w:w="1551"/>
      </w:tblGrid>
      <w:tr>
        <w:trPr/>
        <w:tc>
          <w:tcPr>
            <w:tcW w:w="2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2025</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89.3%-90.3%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95.1% - 97.6%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89.3%-94.9%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95.1% - 97.6%</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5.4-6.1</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3.9%-4.5%</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classification of stock-based compensation expense related to stock options and RSUs, including PRSUs, granted (in thousands):</w:t>
      </w:r>
    </w:p>
    <w:p>
      <w:pPr>
        <w:pStyle w:val="TextBody"/>
        <w:bidi w:val="0"/>
        <w:spacing w:before="120" w:after="283"/>
        <w:jc w:val="left"/>
        <w:rPr/>
      </w:pPr>
      <w:r>
        <w:rPr/>
        <w:t> </w:t>
      </w:r>
    </w:p>
    <w:tbl>
      <w:tblPr>
        <w:tblW w:w="8812" w:type="dxa"/>
        <w:jc w:val="left"/>
        <w:tblInd w:w="0" w:type="dxa"/>
        <w:tblLayout w:type="fixed"/>
        <w:tblCellMar>
          <w:top w:w="28" w:type="dxa"/>
          <w:left w:w="28" w:type="dxa"/>
          <w:bottom w:w="28" w:type="dxa"/>
          <w:right w:w="28" w:type="dxa"/>
        </w:tblCellMar>
      </w:tblPr>
      <w:tblGrid>
        <w:gridCol w:w="3651"/>
        <w:gridCol w:w="146"/>
        <w:gridCol w:w="257"/>
        <w:gridCol w:w="697"/>
        <w:gridCol w:w="178"/>
        <w:gridCol w:w="178"/>
        <w:gridCol w:w="257"/>
        <w:gridCol w:w="697"/>
        <w:gridCol w:w="146"/>
        <w:gridCol w:w="146"/>
        <w:gridCol w:w="235"/>
        <w:gridCol w:w="637"/>
        <w:gridCol w:w="162"/>
        <w:gridCol w:w="162"/>
        <w:gridCol w:w="235"/>
        <w:gridCol w:w="637"/>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above stock-based compensation expense was related to the following stock-based awards (in thousands):</w:t>
      </w:r>
    </w:p>
    <w:p>
      <w:pPr>
        <w:pStyle w:val="TextBody"/>
        <w:bidi w:val="0"/>
        <w:spacing w:before="120" w:after="283"/>
        <w:jc w:val="left"/>
        <w:rPr/>
      </w:pPr>
      <w:r>
        <w:rPr/>
        <w:t> </w:t>
      </w:r>
    </w:p>
    <w:tbl>
      <w:tblPr>
        <w:tblW w:w="8812" w:type="dxa"/>
        <w:jc w:val="left"/>
        <w:tblInd w:w="0" w:type="dxa"/>
        <w:tblLayout w:type="fixed"/>
        <w:tblCellMar>
          <w:top w:w="28" w:type="dxa"/>
          <w:left w:w="28" w:type="dxa"/>
          <w:bottom w:w="28" w:type="dxa"/>
          <w:right w:w="28" w:type="dxa"/>
        </w:tblCellMar>
      </w:tblPr>
      <w:tblGrid>
        <w:gridCol w:w="3651"/>
        <w:gridCol w:w="146"/>
        <w:gridCol w:w="257"/>
        <w:gridCol w:w="697"/>
        <w:gridCol w:w="178"/>
        <w:gridCol w:w="178"/>
        <w:gridCol w:w="257"/>
        <w:gridCol w:w="697"/>
        <w:gridCol w:w="146"/>
        <w:gridCol w:w="146"/>
        <w:gridCol w:w="235"/>
        <w:gridCol w:w="637"/>
        <w:gridCol w:w="162"/>
        <w:gridCol w:w="162"/>
        <w:gridCol w:w="235"/>
        <w:gridCol w:w="637"/>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and PRSUs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stockholders (in thousands, except share and per share data):</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60,896,872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43,225,365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60,666,814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43,220,498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potential shares of common stock that were excluded from the computation of diluted net loss per share attributable to common stockholders for the periods presented because including them would have had an antidilutive effect were as follows:</w:t>
      </w:r>
    </w:p>
    <w:p>
      <w:pPr>
        <w:pStyle w:val="TextBody"/>
        <w:bidi w:val="0"/>
        <w:jc w:val="left"/>
        <w:rPr/>
      </w:pPr>
      <w:r>
        <w:rPr/>
        <w:t> </w:t>
      </w:r>
    </w:p>
    <w:tbl>
      <w:tblPr>
        <w:tblW w:w="6339" w:type="dxa"/>
        <w:jc w:val="left"/>
        <w:tblInd w:w="0" w:type="dxa"/>
        <w:tblLayout w:type="fixed"/>
        <w:tblCellMar>
          <w:top w:w="28" w:type="dxa"/>
          <w:left w:w="28" w:type="dxa"/>
          <w:bottom w:w="28" w:type="dxa"/>
          <w:right w:w="28" w:type="dxa"/>
        </w:tblCellMar>
      </w:tblPr>
      <w:tblGrid>
        <w:gridCol w:w="3346"/>
        <w:gridCol w:w="146"/>
        <w:gridCol w:w="146"/>
        <w:gridCol w:w="1036"/>
        <w:gridCol w:w="146"/>
        <w:gridCol w:w="146"/>
        <w:gridCol w:w="146"/>
        <w:gridCol w:w="1036"/>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10,590,212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9,938,939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and PRSUs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1,248,529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12,277,134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11,187,468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Related 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zero and $0.1 million in other accrued expenses and current liabilities on the condensed balance sheet as of June 30, 2026 and December 31, 2025, respectively, related to severance payments for the Company’s former chief executive officer.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 manages its business as one reportable and operating segment, which is the business of developing therapies for autoimmune and inflammatory diseases. The chief executive officer, who is the chief operating decision maker (“CODM”), reviews financial information on an aggregate basis for purposes of allocating resources, assessing performance and monitoring budget versus actuals. The CODM assesses performance based on net loss as reported on the statement of operations and comprehensive loss. Segment assets are not regularly reviewed by the CODM for purposes of assessing segment performance or allocating resources; total assets are, however, presented on the balance sheet. Segment depreciation expense and segment asset additions are consistent with amounts reported within the statement of cash flows given the Company's operations are aggregated within a single reportable segment. All of the Company’s long-lived assets are located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Company’s summary of segment loss, including significant segment expenses for the three and six months ended June 30, 2026 and 2025 (in thousands):</w:t>
      </w:r>
    </w:p>
    <w:p>
      <w:pPr>
        <w:pStyle w:val="TextBody"/>
        <w:bidi w:val="0"/>
        <w:spacing w:before="120" w:after="283"/>
        <w:jc w:val="left"/>
        <w:rPr/>
      </w:pPr>
      <w:r>
        <w:rPr/>
        <w:t> </w:t>
      </w:r>
    </w:p>
    <w:tbl>
      <w:tblPr>
        <w:tblW w:w="9414" w:type="dxa"/>
        <w:jc w:val="left"/>
        <w:tblInd w:w="0" w:type="dxa"/>
        <w:tblLayout w:type="fixed"/>
        <w:tblCellMar>
          <w:top w:w="28" w:type="dxa"/>
          <w:left w:w="28" w:type="dxa"/>
          <w:bottom w:w="28" w:type="dxa"/>
          <w:right w:w="28" w:type="dxa"/>
        </w:tblCellMar>
      </w:tblPr>
      <w:tblGrid>
        <w:gridCol w:w="3861"/>
        <w:gridCol w:w="146"/>
        <w:gridCol w:w="211"/>
        <w:gridCol w:w="152"/>
        <w:gridCol w:w="706"/>
        <w:gridCol w:w="173"/>
        <w:gridCol w:w="152"/>
        <w:gridCol w:w="220"/>
        <w:gridCol w:w="152"/>
        <w:gridCol w:w="706"/>
        <w:gridCol w:w="166"/>
        <w:gridCol w:w="211"/>
        <w:gridCol w:w="146"/>
        <w:gridCol w:w="676"/>
        <w:gridCol w:w="166"/>
        <w:gridCol w:w="146"/>
        <w:gridCol w:w="211"/>
        <w:gridCol w:w="146"/>
        <w:gridCol w:w="676"/>
        <w:gridCol w:w="391"/>
      </w:tblGrid>
      <w:tr>
        <w:trPr/>
        <w:tc>
          <w:tcPr>
            <w:tcW w:w="3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Miv-cel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programs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research and development expenses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General and administrative expenses</w:t>
            </w:r>
            <w:r>
              <w:rPr>
                <w:rFonts w:ascii="Times New Roman" w:hAnsi="Times New Roman"/>
                <w:color w:val="000000"/>
                <w:sz w:val="13"/>
              </w:rPr>
              <w:t>(b)</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18,569</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and other expense,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loss and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38,319</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
        <w:jc w:val="left"/>
        <w:rPr>
          <w:rFonts w:ascii="Times New Roman" w:hAnsi="Times New Roman"/>
          <w:sz w:val="20"/>
        </w:rPr>
      </w:pPr>
      <w:r>
        <w:rPr>
          <w:rFonts w:ascii="sans-serif" w:hAnsi="sans-serif"/>
          <w:color w:val="000000"/>
          <w:sz w:val="9"/>
        </w:rPr>
        <w:t>(a)</w:t>
      </w:r>
      <w:r>
        <w:rPr>
          <w:rFonts w:ascii="Times New Roman" w:hAnsi="Times New Roman"/>
          <w:color w:val="000000"/>
          <w:sz w:val="20"/>
        </w:rPr>
        <w:t xml:space="preserve"> </w:t>
      </w:r>
      <w:r>
        <w:rPr>
          <w:rFonts w:ascii="Times New Roman" w:hAnsi="Times New Roman"/>
          <w:color w:val="000000"/>
          <w:sz w:val="18"/>
        </w:rPr>
        <w:t>Primarily includes personnel costs, license fees, R&amp;D consulting services, unallocated CRO and CMO costs and allocated overhead and facilities expenses.</w:t>
      </w:r>
    </w:p>
    <w:p>
      <w:pPr>
        <w:pStyle w:val="TextBody"/>
        <w:bidi w:val="0"/>
        <w:spacing w:before="0" w:after="1"/>
        <w:jc w:val="left"/>
        <w:rPr>
          <w:rFonts w:ascii="Times New Roman" w:hAnsi="Times New Roman"/>
          <w:sz w:val="20"/>
        </w:rPr>
      </w:pPr>
      <w:r>
        <w:rPr>
          <w:rFonts w:ascii="sans-serif" w:hAnsi="sans-serif"/>
          <w:color w:val="000000"/>
          <w:sz w:val="9"/>
        </w:rPr>
        <w:t>(b)</w:t>
      </w:r>
      <w:r>
        <w:rPr>
          <w:rFonts w:ascii="Times New Roman" w:hAnsi="Times New Roman"/>
          <w:color w:val="000000"/>
          <w:sz w:val="20"/>
        </w:rPr>
        <w:t xml:space="preserve"> </w:t>
      </w:r>
      <w:r>
        <w:rPr>
          <w:rFonts w:ascii="Times New Roman" w:hAnsi="Times New Roman"/>
          <w:color w:val="000000"/>
          <w:sz w:val="18"/>
        </w:rPr>
        <w:t>Primarily includes personnel costs, allocated overhead and facilities expenses, legal, IT, accounting and general and administrative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unaudited interim condensed financial statements and related notes included elsewhere in this Quarterly Report on Form 10-Q as well as our audited financial statements and related notes thereto as of and for the year ended December 31, 2025 and the related Management’s Discussion and Analysis of Financial Condition and Results of Operations, both of which are contained in Part II of the Annual Report on Form 10-K for the fiscal year ended December 31, 2025 filed with the Securities and Exchange Commission, or the SEC, on March 26, 2026. This discussion and analysis and other parts of this Quarterly Report on Form 10-Q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under “Risk Factors” in Part II, Item 1A of this Quarterly Report on Form 10-Q. See also the section below titled “Special Note Regarding Forward-Looking Statements.”</w:t>
      </w:r>
    </w:p>
    <w:p>
      <w:pPr>
        <w:pStyle w:val="TextBody"/>
        <w:bidi w:val="0"/>
        <w:spacing w:before="360" w:after="120"/>
        <w:jc w:val="left"/>
        <w:rPr>
          <w:rFonts w:ascii="Times New Roman" w:hAnsi="Times New Roman"/>
          <w:i/>
          <w:color w:val="000000"/>
          <w:sz w:val="20"/>
        </w:rPr>
      </w:pPr>
      <w:r>
        <w:rPr>
          <w:rFonts w:ascii="Times New Roman" w:hAnsi="Times New Roman"/>
          <w:i/>
          <w:color w:val="000000"/>
          <w:sz w:val="20"/>
        </w:rPr>
        <w:t>Throughout this Quarterly Report on Form 10-Q, unless the context otherwise requires, the terms “Kyverna,” “we,” “us” and “our” in this Quarterly Report on Form 10-Q refer to Kyverna Therapeutics, Inc.</w:t>
      </w:r>
    </w:p>
    <w:p>
      <w:pPr>
        <w:pStyle w:val="TextBody"/>
        <w:bidi w:val="0"/>
        <w:jc w:val="center"/>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within the meaning of the federal securities laws, which statements involve substantial risks and uncertainties. Forward-looking statements generally relate to future events or our future financial or operating performance. All statements other than statements of historical facts contained in this Quarterly Report on Form 10-Q, including statements regarding our future results of operations and financial position, business strategy, product candidates, planned preclinical studies and clinical trials, results of preclinical studies and clinical trials, research and development plans and costs, plans for manufacturing, regulatory approvals, timing and likelihood of success, as well as plans and objectives of management for future operations, are forward-looking statements.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but the absence of these words does not mean that a statement is not forward-looking. Forward-looking statements contained in this Quarterly Report on Form 10-Q include, for example,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and results of our preclinical studies, clinical trials, and research and development programs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demonstrate, and the timing of, preclinical proof-of-concept in vivo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complete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quickly leverage our initial product candidates and to progress additional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of certain diseases and conditions we intend to treat and the size of the market opportunity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the number of patients with certain diseases and conditions we intend to treat and the number of patients that we will enroll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likelihood of our clinical trials demonstrating safety and efficacy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beneficial characteristics, safety, efficacy, therapeutic effects and potential advantages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or likelihood of regulatory filings and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meet future regulatory standards with respect to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the further development and manufacturing of our product candidates, including additional indications which we may pursue;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additional product candidates or technologies with significant commercial potential that are consistent with our commercial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therapeutic benefits of our product candidates, if approved, and any other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strategic plans for our business, product candidates, research programs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developments related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competitive position and ability to leverage the clinical, regulatory and manufacturing advancements to accelerate our clinical trials and regulatory approval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enter into future license agreements and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potential benefits of strategic collaborations with third parties and our ability to attract collaborators with development, regulatory, manufacturing or commercialization expertise;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prosecute, grow and defend our intellectual property portfolio against infringement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efficiently and cost-effectively conduct our current and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conduct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for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sales strategy, manufacturing and commercializing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sales personnel, or to contract with a sales organization, if our product candidates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regulatory and legal developments in the United States and foreign countries in which we may seek regulatory approval for our product candidates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scientific and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expected or anticipated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existing capital resources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Jumpstart Our Business Startups Act of 2012, or the JOBS Act, or a smaller reporting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expenses, capital requirements and needs for additional financing;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unfavorable macroeconomic conditions or market volatility resulting from global economic conditions or geopolitical developments, including international tariffs, trade protection measures, economic sanctions, supply chain issues, inflationary pressures, economic slowdowns or recessions, acts of war and civil or political unrest.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caution you that the forward-looking statements highlighted above do not encompass all of the forward-looking statements made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Part II, Item 1A of this Quarterly Report on Form 10-Q titled “Risk Factors” and elsewhere in this Quarterly Report on Form 10-Q, and involve a number of assumptions and limitations. Moreover, we operate in a very competitive and challenging environment. New risks and uncertainties emerge from time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other strategic transactions or investments we may make or enter into.</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late-stage clinical immunology company pioneering differentiated therapies with curative potential for people living with neurologic autoimmune diseases. Our development strategy is supported by our breadth of experience in treating more than 100 autoimmune patients with our lead product candidate, mivocabtagene autoleucel, or miv-cel, also known as KYV-101, an anti-CD19 autologous CAR T with a differentiated CAR construct. This has been documented through the scientific publication of multiple autoimmune case studies, our proprietary dataset of patients treated through named patient forms of compassionate use, our experience in ongoing investigator-initiated trials, or IITs, at leading academic institutions, as well as early clinical data from our ongoing company-sponsored trials illustrating the potential of these therapies to deeply deplete B cells with the aim of achieving durable treatment-free remission. This validation provides us with a clear path to continue advancing miv-cel through late-stage clinical development and commercialization across multiple autoimmune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Miv-cel, our lead program, is an autologous, fully human CD19-targeting CAR T-cell product candidate that is designed for potency and tolerability in autoimmune diseases. Miv-cel is made from an underlying chimeric antigen receptor, or CAR, licensed from the National Institutes of Health, or the NIH. In addition to a fully human scFv domain, the CAR in miv-cel was also designed with a human CD8α hinge and transmembrane domain, a highly potent human CD28 costimulatory domain, and a human CD3ζ activation domain. This same underlying CAR in miv-cel has completed a 20-patient Phase 1 clinical trial in oncology conducted by the NIH, and the results from this Phase 1 clinical trial published in Nature Medicine reported similar rates of durable antitumor responses while delivering improved tolerability in the clinic among adult oncology patients, as compared to the CAR used to create Yescarta®. We believe the unique miv-cel CAR construct has the potential to deliver a differentiated therapeutic profile in autoimmune disease over current standard-of-care therapies by addressing the underlying immune dysfunction – deeply depleting B cells with the goal of achieving an immune reset and durable, treatment-free remission.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focused on advancing our neuroimmunology CAR T franchise, starting with evaluating miv-cel in stiff person syndrome, or SPS, and generalized myasthenia gravis, or gMG, both serious and highly debilitating autoimmune diseases with significant unmet medical need. We received RMAT designations and Orphan Drug Designations, or ODD, from the FDA for both SPS and MG as well as Orphan Drug Designation from the European Medicines Agency in MG.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SPS is a rare and progressive neurologic autoimmune disease with no therapies approved by the U.S. Food and Drug Administration, or the FDA. Patients with SPS have substantial disease burden, with symptoms characterized by muscle stiffness and painful muscle spasms, impacting mobility. 80% of patients lose mobility over time, and need walking aid assistance or a wheelchair. In addition, patients face risk of permanent disability and increased mortality. In SPS, we have completed a registrational 26-patient Phase 2 clinical trial (KYSA-8). We presented the positive primary analysis results from the KYSA-8 trial at the 2026 American Academy of Neurology, or AAN, Annual Meeting in April 2026. In the trial, miv-cel demonstrated statistically significant, durable clinical benefit across all primary and secondary endpoints at 16 weeks, with reversal of disability scores following a single dose of miv-cel. 100% of patients remained free of immunotherapies for SPS as of week 16. Further, miv-cel demonstrated a well-tolerated safety profile. We also presented outcomes from a large, multicenter, retrospective natural history study examining the impact of SPS on walking speed at AAN. During the second quarter of 2026, we held a positive pre-biologics license application, or BLA, meeting with the FDA and gained alignment on our regulatory path for miv-cel in SPS, including a rolling BLA submission and all core components of the BLA package. We then initiated the rolling BLA submission, seeking priority review under the program's Regenerative Medicine Advanced Therapy, or RMAT, designation. In July 2026, we submitted the Chemistry, Manufacturing, and Controls, or CMC, module, and anticipate completing the submission in the fourth quarter of 2026. We continue to advance activities to enable a successful launch upon approval. These efforts include hiring key commercial leadership roles, commercial site activation,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a commercial supply agreement, payer and patient advocacy engagement, and healthcare professional education. We plan to report 12-month topline data from KYSA-8 for miv-cel in patients with SPS in the third quarter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Myasthenia gravis, or MG, is a B-cell and antibody-mediated neuromuscular autoimmune disease that causes fluctuating muscle weakness and fatigue. The disease includes gMG, which impacts muscles beyond the eyes and may involve bulbar, limb, and respiratory muscles. Most patients develop gMG within two years after MG diagnosis. Symptoms are highly disruptive to quality of life and can include muscle weakness and fatigue, difficulty chewing and swallowing, trouble with speech, and in severe cases, respiratory failure, which can be life-threatening. Despite available treatment options, including immunosuppressants and biologics, patients still struggle with symptom control and require chronic and costly treatment options in addition to background therapies.</w:t>
      </w:r>
    </w:p>
    <w:p>
      <w:pPr>
        <w:pStyle w:val="TextBody"/>
        <w:bidi w:val="0"/>
        <w:spacing w:before="120" w:after="283"/>
        <w:jc w:val="left"/>
        <w:rPr>
          <w:rFonts w:ascii="Times New Roman" w:hAnsi="Times New Roman"/>
          <w:sz w:val="20"/>
        </w:rPr>
      </w:pPr>
      <w:r>
        <w:rPr>
          <w:rFonts w:ascii="Times New Roman" w:hAnsi="Times New Roman"/>
          <w:color w:val="000000"/>
          <w:sz w:val="20"/>
        </w:rPr>
        <w:t>In October 2025, we reported positive interim data from our registrational KYSA-6 Phase 2 clinical trial of miv-cel in gMG. In April 2026, we presented the positive longer-term follow-up data from the Phase 2 portion of the KYSA-6 trial at the 2026 AAN Annual Meeting. The updated data demonstrated durable clinical responses across all key clinical outcome measures with sustained benefit observed out to one year following a single dose of miv-cel. 100% of patients achieved clinically meaningful, rapid and robust reductions in M</w:t>
      </w:r>
      <w:r>
        <w:rPr>
          <w:rFonts w:ascii="Times New Roman" w:hAnsi="Times New Roman"/>
          <w:color w:val="231F20"/>
          <w:sz w:val="20"/>
        </w:rPr>
        <w:t xml:space="preserve">yasthenia Gravis Activities of Daily Living, or </w:t>
      </w:r>
      <w:r>
        <w:rPr>
          <w:rFonts w:ascii="Times New Roman" w:hAnsi="Times New Roman"/>
          <w:color w:val="000000"/>
          <w:sz w:val="20"/>
        </w:rPr>
        <w:t xml:space="preserve">MG-ADL, and </w:t>
      </w:r>
      <w:r>
        <w:rPr>
          <w:rFonts w:ascii="Times New Roman" w:hAnsi="Times New Roman"/>
          <w:color w:val="231F20"/>
          <w:sz w:val="20"/>
        </w:rPr>
        <w:t xml:space="preserve">Quantitative Myasthenia Gravis, or </w:t>
      </w:r>
      <w:r>
        <w:rPr>
          <w:rFonts w:ascii="Times New Roman" w:hAnsi="Times New Roman"/>
          <w:color w:val="000000"/>
          <w:sz w:val="20"/>
        </w:rPr>
        <w:t xml:space="preserve">QMG, scores from baseline (the co-primary endpoints of the Phase 3 portion of the trial), regardless of prior biologic exposure and at deeper levels observed compared to prior interim analysis. In addition, biomarker and mechanistic data further supported miv-cel’s differentiated clinical profile and miv-cel was well-tolerated. We continue to advance our FDA-aligned, Phase 3 registrational trial and expect to complete patient enrollment by mid-2027. We anticipate sharing longer term, follow-up Phase 2 topline data in gMG in the third quarter of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Beyond SPS and gMG, our pipeline opportunities include expanding into other autoimmune indications as well as novel innovations to expand patient access.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2026, the FDA granted RMAT designation for miv-cel in non-active secondary progressive multiple sclerosis, or naSPMS, which provides the opportunity for increased FDA engagement and eligibility for priority and rolling reviews, as well as accelerated approval pathways.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conducting IITs and other Kyverna-sponsored clinical trials, or KYSA trials, including in PMS, rheumatoid arthritis, or RA, lupus nephritis, or LN, and systemic sclerosis, or SSc. In 2025, encouraging data from a Phase 1 IIT in PMS and a Phase 1/2 IIT in RA were shared. In February 2026, the positive updated data of miv-cel in PMS from a Phase 1 IIT was presented at the Americas Committee for Treatment and Research in Multiple Sclerosis (ACTRIMS) forum. We expect to provide an update on our PMS development strategy by early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longer-term efforts to broaden patient access, we continue to explore miv-cel with alternative or preconditioning regimens and the potential for outpatient administration supported by miv-cel’s favorable safety profile.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strengthening our CMC capabilities to support late-stage clinical development and anticipated commercialization. On July 23, 2026, we entered into a clinical and commercial supply agreement, or the Elevate CCSA, with ElevateBio BaseCamp, Inc., or Elevate, for both U.S commercial and global clinical supply of miv-cel. The new manufacturing agreement provides us with flexible and scalable supply of miv-cel, supporting our potential launches in SPS and gMG, as well as other ongoing 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the Investigational New Drug, or IND, application for KYV-102, our proprietary whole blood, rapid manufacturing process, was accepted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in June 2018, we have devoted substantially all of our resources to performing research and development, enabling manufacturing activities in support of our product development efforts, hiring personnel, acquiring and developing our technology and product candidates, performing business planning, developing and establishing our intellectual property portfolio, raising capital and providing general and administrative support for these activities. We do not have any products approved for sale and have not generated any revenue from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significant losses and negative cash flows from operations since our inception. We have funded our operations primarily from sales of our redeemable convertible preferred stock, issuances of convertible notes, revenue from our collaboration agreement with Gilead Sciences, Inc., or Gilead, which terminated effective as of January 22, 2024; from the sale of shares of our common stock in our initial public offering in February 2024, or the IPO, through our ATM Facility (as defined below) and other underwritten public offerings; and cash received from our Loan Facility (as defined below) entered in October 2025. Our net losses were $38.3 million and $78.0 million for the three and six months ended June 30, 2026, respectively, compared with $42.1 million and $86.7 million net loss for the three and six months ended June 30, 2025, respectively. As of June 30, 2026, we had an accumulated deficit of $502.9 million. Management has determined that our cash and cash equivalents and available-for-sale marketable securities of $199.4 million as of June 30, 2026, net proceeds from the sale of shares under the ATM Facility and the term loans available under the Loan Facility with Oxford Finance will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sufficient to fund our planned operations for at least one year from the date of this Quarterly Report on Form 10-Q. We plan to monitor expenses and raise additional capital through equity or debt financings, strategic alliances and licensing arrangements. 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incur substantial losses for the foreseeable future, and our transition to profitability will depend upon the successful development, approval and commercialization of our product candidates and upon the receipt of sufficient revenues to support our cost structure. We do not expect to generate any revenue from commercial product sales unless and until we successfully complete development and obtain regulatory approval for one or more of our product candidates. We may never achieve profitability, and unless we do and until then, we will need to continue to raise additional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expenses will increase substantially in connection with our ongoing and planned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progress the development of our product candidates, including miv-cel in multiple clinical trials in parallel;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explore additional indications for our existing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procure manufacturing of clinical supply and manufacturing operations for our clinical trials and commercial manufacturing, if any of our product candidates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discover, validate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additional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operational, financial and management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and distribution infrastructure to commercialize any product candidate for which we may obtain marketing approval and related commercial manufacturing build-out;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expand and protect our portfolio of intellectual property rights;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operate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own or operate any manufacturing facilities. We rely on contract manufacturing organizations, or CMOs, to produce our product candidates in accordance with the FDA’s current Good Manufacturing Practices regulations for use in our clinical studies. The Elevate CCSA replaced the July 2023 development and manufacturing services agreement with Elevate under which Elevate provided us with cell manufacturing, release and testing services for our miv-cel product candidate. Under the master services agreement with Minaris Advanced Therapies, Inc., or MAT, MAT’s facility in Philadelphia, Pennsylvania, provides us with certain customized cell manufacturing, release and testing services for our miv-cel product candidate. Pursuant to our license and supply agreement with Oxford Biomedica (UK) Limited, or Oxford, Oxford provides us with lentiviral vector process development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advance our product-launch readiness activities. However, we have not yet established a fully operational commercial infrastructure. We expect to continue investing in our commercial capabilities as appropriate. Accordingly, if we obtain regulatory approval for any of our product candidates, we expect to incur additional expenses to expand our infrastructure to support product sales, marketing, market access, distribution and other commercial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product development, we are unable to predict the timing or amount of increased expenses or when or if we will be able to achieve or maintain profitability, if at all. Even if we are able to generate revenue from the sale of our product candidates, we may not become profitable. If we fail to become profitable or are unable to sustain profitability on a continuing basis, we may be unable to continue our operations at planned levels and may be forced to reduce our operations.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pipeline and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portfolio of product candidates for the treatment of autoimmune diseases is summarized in the figure below:</w:t>
      </w:r>
    </w:p>
    <w:p>
      <w:pPr>
        <w:pStyle w:val="TextBody"/>
        <w:bidi w:val="0"/>
        <w:spacing w:before="240" w:after="283"/>
        <w:jc w:val="center"/>
        <w:rPr/>
      </w:pPr>
      <w:r>
        <w:rPr/>
        <w:drawing>
          <wp:inline distT="0" distB="0" distL="0" distR="0">
            <wp:extent cx="6400800" cy="2543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00800" cy="2543175"/>
                    </a:xfrm>
                    <a:prstGeom prst="rect">
                      <a:avLst/>
                    </a:prstGeom>
                  </pic:spPr>
                </pic:pic>
              </a:graphicData>
            </a:graphic>
          </wp:inline>
        </w:drawing>
      </w:r>
    </w:p>
    <w:p>
      <w:pPr>
        <w:pStyle w:val="TextBody"/>
        <w:bidi w:val="0"/>
        <w:spacing w:before="40" w:after="283"/>
        <w:jc w:val="left"/>
        <w:rPr>
          <w:rFonts w:ascii="sans-serif" w:hAnsi="sans-serif"/>
          <w:color w:val="000000"/>
          <w:sz w:val="16"/>
        </w:rPr>
      </w:pPr>
      <w:r>
        <w:rPr>
          <w:rFonts w:ascii="sans-serif" w:hAnsi="sans-serif"/>
          <w:color w:val="000000"/>
          <w:sz w:val="16"/>
        </w:rPr>
        <w:t>RMAT, Regenerative Medicine Advanced Therapy; ODD, Orphan Drug Designation; FTD, Fast Track Designation, IIT, investigator-</w:t>
      </w:r>
    </w:p>
    <w:p>
      <w:pPr>
        <w:pStyle w:val="TextBody"/>
        <w:bidi w:val="0"/>
        <w:jc w:val="left"/>
        <w:rPr>
          <w:rFonts w:ascii="sans-serif" w:hAnsi="sans-serif"/>
          <w:color w:val="000000"/>
          <w:sz w:val="16"/>
        </w:rPr>
      </w:pPr>
      <w:r>
        <w:rPr>
          <w:rFonts w:ascii="sans-serif" w:hAnsi="sans-serif"/>
          <w:color w:val="000000"/>
          <w:sz w:val="16"/>
        </w:rPr>
        <w:t>initiated trial; naSPMS, non-active secondary progressive multiple sclerosis;</w:t>
      </w:r>
    </w:p>
    <w:p>
      <w:pPr>
        <w:pStyle w:val="TextBody"/>
        <w:bidi w:val="0"/>
        <w:jc w:val="left"/>
        <w:rPr>
          <w:rFonts w:ascii="Times New Roman" w:hAnsi="Times New Roman"/>
          <w:sz w:val="20"/>
        </w:rPr>
      </w:pPr>
      <w:r>
        <w:rPr>
          <w:rFonts w:ascii="sans-serif" w:hAnsi="sans-serif"/>
          <w:color w:val="000000"/>
          <w:sz w:val="16"/>
        </w:rPr>
        <w:t>Fast track designation does not assure that we will experience a faster development process, regulatory review or regulatory approval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16"/>
        </w:rPr>
        <w:t>process compared to conventional US Food and Drug Administration procedures;</w:t>
      </w:r>
      <w:r>
        <w:rPr>
          <w:rFonts w:ascii="Times New Roman" w:hAnsi="Times New Roman"/>
          <w:color w:val="000000"/>
          <w:sz w:val="20"/>
        </w:rPr>
        <w:t xml:space="preserve"> </w:t>
      </w:r>
      <w:r>
        <w:rPr>
          <w:rFonts w:ascii="Times New Roman" w:hAnsi="Times New Roman"/>
          <w:color w:val="000000"/>
          <w:sz w:val="16"/>
        </w:rPr>
        <w:t>*</w:t>
      </w:r>
      <w:r>
        <w:rPr>
          <w:rFonts w:ascii="sans-serif" w:hAnsi="sans-serif"/>
          <w:color w:val="000000"/>
          <w:sz w:val="16"/>
        </w:rPr>
        <w:t>Phase 3 may not be required if Phase 2 is registrational.</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EU &amp; US.  </w:t>
      </w:r>
      <w:r>
        <w:rPr>
          <w:rFonts w:ascii="sans-serif" w:hAnsi="sans-serif"/>
          <w:color w:val="000000"/>
          <w:sz w:val="16"/>
        </w:rPr>
        <w:t>Kyverna is also exploring miv-cel in progressive multiple sclerosis through IITs from Stanford University and the University of California, San Francisco.</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License and Collaboration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regarding our license and collaboration agreements is included in Note 6, “License and Collaboration Agreements,” to the condensed financial statements included in this Quarterly Report on Form 10-Q.</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Macroeconomic 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affected by worldwide economic conditions and challenges, such as the effects of the ongoing geopolitical conflicts in Ukraine, war in Iran and other conflicts and instability in the Middle East, instability in Venezuela, tensions between not only the U.S. and China, but also between the U.S. and other countries in the international community, disruptions in the banking industry and inflationary trends, and the imposition, or threatened imposition, of tariffs and potential retaliatory trade restrictions. The past several years have been marked by significant market uncertainty and increasing inflationary pressures. These market dynamics continue and similar adverse market conditions may negatively impact our business, financial position and results of operations. For further discussion of the potential impacts of macroeconomic events on us, refer to the section titled “Risk Factors” in Part II, Item 1A of this Quarterly Report on Form 10-Q.</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expenses consist of (i) research and development expenses and (ii) general and administrative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1"/>
        <w:jc w:val="left"/>
        <w:rPr>
          <w:rFonts w:ascii="Times New Roman" w:hAnsi="Times New Roman"/>
          <w:color w:val="000000"/>
          <w:sz w:val="20"/>
        </w:rPr>
      </w:pPr>
      <w:r>
        <w:rPr>
          <w:rFonts w:ascii="Times New Roman" w:hAnsi="Times New Roman"/>
          <w:color w:val="000000"/>
          <w:sz w:val="20"/>
        </w:rPr>
        <w:t xml:space="preserve">The largest component of our total operating expenses since inception has been research and development activities, including the preclinical and clinical development of our product candidates. Research and development expenses consist primarily of compensation and benefits for research and development employees, including stock-based compensation;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
        <w:jc w:val="left"/>
        <w:rPr>
          <w:rFonts w:ascii="Times New Roman" w:hAnsi="Times New Roman"/>
          <w:color w:val="000000"/>
          <w:sz w:val="20"/>
        </w:rPr>
      </w:pPr>
      <w:r>
        <w:rPr>
          <w:rFonts w:ascii="Times New Roman" w:hAnsi="Times New Roman"/>
          <w:color w:val="000000"/>
          <w:sz w:val="20"/>
        </w:rPr>
        <w:t>expenses incurred under agreements with clinical research organizations, or CROs, and investigative sites that conduct preclinical and clinical studies; costs of acquiring and manufacturing clinical study materials and other supplies; payments under licensing and research and development agreements; other outside services and consulting costs; and facilities, information technology and overhead expenses. Research and development costs are expensed as incurred.</w:t>
      </w:r>
    </w:p>
    <w:p>
      <w:pPr>
        <w:pStyle w:val="TextBody"/>
        <w:bidi w:val="0"/>
        <w:spacing w:before="239" w:after="283"/>
        <w:jc w:val="left"/>
        <w:rPr>
          <w:rFonts w:ascii="Times New Roman" w:hAnsi="Times New Roman"/>
          <w:color w:val="000000"/>
          <w:sz w:val="20"/>
        </w:rPr>
      </w:pPr>
      <w:r>
        <w:rPr>
          <w:rFonts w:ascii="Times New Roman" w:hAnsi="Times New Roman"/>
          <w:color w:val="000000"/>
          <w:sz w:val="20"/>
        </w:rPr>
        <w:t>Research and development costs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under agreements with third-party CROs, CMOs and other third parties that conduct preclinical and clinical activities on our behalf and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consulting fees associated with our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acquiring technology and intellectual property licenses that have no alternative future uses, milestone payments and annual license maintenance fees under our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costs associated with our research and development programs, including laboratory materials and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costs, including salaries, benefits, travel and meals expenses, and stock-based compensation expense for our research and development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allocated facilities and overhead costs, including software and other miscellaneous expenses incurred in connection with our research and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conducting the necessary preclinical and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programs, competition, manufacturing capability and commercial viability. We may never receive regulatory approval for any of our product candidates. As a result of the uncertainties discussed above, we are unable to determine the duration and completion costs of our research and development projects or if, when and to what extent we will generate revenue from the commercialization and sale of our product candidates, if approved.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payroll and personnel-related expenses, including: salaries, employee benefit costs and stock-based compensation expense; professional fees for legal, consulting, accounting and tax services; allocated overheads, including rent, equipment, information technology costs and utilities; and other general operating expenses not otherwise classified as research and development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general and administrative expenses have increased, and are expected to continue to increase primarily due to increased personnel costs, including salaries, benefits and stock-based compensation expense, expanded infrastructure and increased consulting and professional services associated with maintaining compliance with stock exchange listing and requirements of the SEC, investor relations costs and director and officer insurance premiums.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primarily of interest and accretion of premiums and discounts on our investments in available-for-sale marketable securities and cash equivalents.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primarily of amounts related to our Loan Facility and laboratory equipment finance leases. We expect that it will increase in the future as we will incur interest on the outstanding borrowings under the Loan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net primarily consists of settlement and revaluation of transactions and accounts payable in foreign currency.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jc w:val="left"/>
        <w:rPr/>
      </w:pPr>
      <w:r>
        <w:rPr/>
        <w:t> </w:t>
      </w:r>
    </w:p>
    <w:tbl>
      <w:tblPr>
        <w:tblW w:w="8334" w:type="dxa"/>
        <w:jc w:val="left"/>
        <w:tblInd w:w="0" w:type="dxa"/>
        <w:tblLayout w:type="fixed"/>
        <w:tblCellMar>
          <w:top w:w="28" w:type="dxa"/>
          <w:left w:w="28" w:type="dxa"/>
          <w:bottom w:w="28" w:type="dxa"/>
          <w:right w:w="28" w:type="dxa"/>
        </w:tblCellMar>
      </w:tblPr>
      <w:tblGrid>
        <w:gridCol w:w="2561"/>
        <w:gridCol w:w="546"/>
        <w:gridCol w:w="216"/>
        <w:gridCol w:w="756"/>
        <w:gridCol w:w="170"/>
        <w:gridCol w:w="149"/>
        <w:gridCol w:w="216"/>
        <w:gridCol w:w="756"/>
        <w:gridCol w:w="166"/>
        <w:gridCol w:w="146"/>
        <w:gridCol w:w="211"/>
        <w:gridCol w:w="736"/>
        <w:gridCol w:w="166"/>
        <w:gridCol w:w="146"/>
        <w:gridCol w:w="146"/>
        <w:gridCol w:w="571"/>
        <w:gridCol w:w="676"/>
      </w:tblGrid>
      <w:tr>
        <w:trPr/>
        <w:tc>
          <w:tcPr>
            <w:tcW w:w="256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(38,319</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presented:</w:t>
      </w:r>
    </w:p>
    <w:p>
      <w:pPr>
        <w:pStyle w:val="TextBody"/>
        <w:bidi w:val="0"/>
        <w:jc w:val="left"/>
        <w:rPr/>
      </w:pPr>
      <w:r>
        <w:rPr/>
        <w:t> </w:t>
      </w:r>
    </w:p>
    <w:tbl>
      <w:tblPr>
        <w:tblW w:w="8610" w:type="dxa"/>
        <w:jc w:val="left"/>
        <w:tblInd w:w="0" w:type="dxa"/>
        <w:tblLayout w:type="fixed"/>
        <w:tblCellMar>
          <w:top w:w="28" w:type="dxa"/>
          <w:left w:w="28" w:type="dxa"/>
          <w:bottom w:w="28" w:type="dxa"/>
          <w:right w:w="28" w:type="dxa"/>
        </w:tblCellMar>
      </w:tblPr>
      <w:tblGrid>
        <w:gridCol w:w="3611"/>
        <w:gridCol w:w="246"/>
        <w:gridCol w:w="231"/>
        <w:gridCol w:w="741"/>
        <w:gridCol w:w="160"/>
        <w:gridCol w:w="160"/>
        <w:gridCol w:w="231"/>
        <w:gridCol w:w="741"/>
        <w:gridCol w:w="146"/>
        <w:gridCol w:w="146"/>
        <w:gridCol w:w="211"/>
        <w:gridCol w:w="736"/>
        <w:gridCol w:w="166"/>
        <w:gridCol w:w="146"/>
        <w:gridCol w:w="146"/>
        <w:gridCol w:w="376"/>
        <w:gridCol w:w="416"/>
      </w:tblGrid>
      <w:tr>
        <w:trPr/>
        <w:tc>
          <w:tcPr>
            <w:tcW w:w="36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Miv-cel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programs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Personnel-related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research and development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24,788</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decreased by $11.0 million, or 31%, from $35.8 million for the three months ended June 30, 2025, to $24.8 million for the three months ended June 30,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External research and development expenses related to our miv-cel program decreased by $11.2 million, or 49%, for the three months ended June 30, 2026 compared to 2025, mainly driven by a decrease in costs incurred for CMO activities of $10.2 million. We incurred higher CMO costs during the three months ended June 30, 2025 to support significant BLA readiness efforts and higher clinical supply costs. CRO costs decreased by $1.2 million in the three months ended June 30, 2026, compared to the three months ended June 30, 2025, mainly due to lower costs incurred for our KYSA-8 trial, partially offset by higher costs for our KYSA-6 trial.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program expenses include research and development expenses, mainly for our KYV-201 and KYV-102 programs. Other program costs decreased year-over-year by $1.0 million, or 98%, in 2026, mainly due to a decrease in CMO and CRO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Personnel-related expenses increased by $0.5 million, or 7%, from $8.3 million for the three months ended June 30, 2025 to $8.8 million for the three months ended June 30, 2026, primarily due to growth in the number of employees in our research and development organization.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research and development expenses primarily consist of unallocated research and development costs, professional services, facilities, depreciation and overhead costs. The increase of $0.5 million, or 14%, for the three months ended June 30, 2026, compared to the same period a year ago, is mainly due to a $0.6 million increase in professional services and higher allocated overhead expenses.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$6.2 million, or 72%, for the three months ended June 30, 2026, compared to the same period a year ago. The increase primarily relates to a $3.3 million increase in personnel-related expenses, including a $0.8 million increase in stock-based compensation expense and a $3.1 million increase in professional services. The increase in professional consulting costs is mainly due to an increase in information technology consulting as well as commercial and market access preparations.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by $0.4 million for the three months ended June 30, 2026, compared to the three months ended June 30, 2025, primarily due to lower effective interest yield on our marketable securities during the three months ended June 30, 2026 as compared to the same period a year ago.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$0.7 million for the three months ended June 30, 2026, compared to the same period a year ago, due to the Loan Facility entered into in the fourth quarter of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spacing w:before="120" w:after="283"/>
        <w:jc w:val="left"/>
        <w:rPr/>
      </w:pPr>
      <w:r>
        <w:rPr/>
        <w:t> </w:t>
      </w:r>
    </w:p>
    <w:tbl>
      <w:tblPr>
        <w:tblW w:w="8277" w:type="dxa"/>
        <w:jc w:val="left"/>
        <w:tblInd w:w="0" w:type="dxa"/>
        <w:tblLayout w:type="fixed"/>
        <w:tblCellMar>
          <w:top w:w="28" w:type="dxa"/>
          <w:left w:w="28" w:type="dxa"/>
          <w:bottom w:w="28" w:type="dxa"/>
          <w:right w:w="28" w:type="dxa"/>
        </w:tblCellMar>
      </w:tblPr>
      <w:tblGrid>
        <w:gridCol w:w="2561"/>
        <w:gridCol w:w="546"/>
        <w:gridCol w:w="211"/>
        <w:gridCol w:w="736"/>
        <w:gridCol w:w="166"/>
        <w:gridCol w:w="146"/>
        <w:gridCol w:w="211"/>
        <w:gridCol w:w="736"/>
        <w:gridCol w:w="166"/>
        <w:gridCol w:w="146"/>
        <w:gridCol w:w="211"/>
        <w:gridCol w:w="736"/>
        <w:gridCol w:w="166"/>
        <w:gridCol w:w="146"/>
        <w:gridCol w:w="146"/>
        <w:gridCol w:w="571"/>
        <w:gridCol w:w="676"/>
      </w:tblGrid>
      <w:tr>
        <w:trPr/>
        <w:tc>
          <w:tcPr>
            <w:tcW w:w="256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presented:</w:t>
      </w:r>
    </w:p>
    <w:p>
      <w:pPr>
        <w:pStyle w:val="TextBody"/>
        <w:bidi w:val="0"/>
        <w:jc w:val="left"/>
        <w:rPr/>
      </w:pPr>
      <w:r>
        <w:rPr/>
        <w:t> </w:t>
      </w:r>
    </w:p>
    <w:tbl>
      <w:tblPr>
        <w:tblW w:w="8474" w:type="dxa"/>
        <w:jc w:val="left"/>
        <w:tblInd w:w="0" w:type="dxa"/>
        <w:tblLayout w:type="fixed"/>
        <w:tblCellMar>
          <w:top w:w="28" w:type="dxa"/>
          <w:left w:w="28" w:type="dxa"/>
          <w:bottom w:w="28" w:type="dxa"/>
          <w:right w:w="28" w:type="dxa"/>
        </w:tblCellMar>
      </w:tblPr>
      <w:tblGrid>
        <w:gridCol w:w="3611"/>
        <w:gridCol w:w="246"/>
        <w:gridCol w:w="211"/>
        <w:gridCol w:w="677"/>
        <w:gridCol w:w="146"/>
        <w:gridCol w:w="146"/>
        <w:gridCol w:w="211"/>
        <w:gridCol w:w="677"/>
        <w:gridCol w:w="146"/>
        <w:gridCol w:w="146"/>
        <w:gridCol w:w="211"/>
        <w:gridCol w:w="736"/>
        <w:gridCol w:w="166"/>
        <w:gridCol w:w="146"/>
        <w:gridCol w:w="146"/>
        <w:gridCol w:w="376"/>
        <w:gridCol w:w="476"/>
      </w:tblGrid>
      <w:tr>
        <w:trPr/>
        <w:tc>
          <w:tcPr>
            <w:tcW w:w="36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Miv-cel</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programs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Personnel-related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decreased by approximately $18.3 million, or 25%, to $54.9 million for the six months ended June 30, 2026, from $73.2 million for the six months ended June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External research and development expenses related to our miv-cel program decreased by $18.0 million, or 40%, for the six months ended June 30, 2026, compared to the same period a year ago, mainly driven by a decrease in costs incurred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CMO activities of $18.5 million. We incurred higher CMO costs during the six months ended June 30, 2025 to support significant BLA readiness efforts, related to our SPS product candidate. CRO costs decreased by $1.7 million in the six months ended June 30, 2026, compared to the six months ended June 30, 2025, mainly due to lower costs incurred for our KYSA-8 SPS trial, partially offset by higher costs for our KYSA-6 MG trials. The decrease in miv-cel CMO and CRO costs was partially offset by a benchmark royalty expense of $1.0 million, as we reached a milestone and it became payable in accordance with a patent license agreement during the six months ended June 30, 2026 and $1.0 million of higher professional consulting services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program expenses include research and development expenses, mainly for our KYV-201 and KYV-102 programs. Other program costs decreased by $1.3 million, or 85%, for the six months ended June 30, 2026, compared to the same period a year ago due to a $1.1 million decrease in CMO and CRO costs. Costs related to the Ingenui-T rapid whole blood manufacturing process decreased to $0.2 million for the six months ended June 30, 2026, from $1.8 million for the same period a year ago.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Personnel-related expenses increased by $1.7 million, or 10%, to $18.5 million for the six months ended June 30, 2026 from $16.8 million for the same period a year ago primarily due to the growth in the number of employees in our research and development organization.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research and development expenses primarily consist of unallocated research and development costs, professional services, facilities, depreciation and overhead costs. The decrease of $0.8 million, or 8%, for the six months ended June 30, 2026, compared to the same period a year ago, is mainly due to lower rent, depreciation and amortization and unallocated CMO costs, partially offset by higher professional services costs and higher facilities and overhead costs. The six months ended June 30, 2025 included a $0.6 million impairment charge related to a capitalized software.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$7.4 million, or 40%, for the six months ended June 30, 2026, compared to the same period a year ago. The increase primarily relates to a $4.1 million increase in personnel-related costs, including a $1.7 million increase in stock-based compensation expense and a $3.8 million increase in professional services, partially offset by a $0.5 million decrease in facilities and overhead costs. The increase in professional consulting costs is mainly due to an increase in information technology consulting as well as commercial and market access preparations.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decreased by $0.9 million for the six months ended June 30, 2026, compared to the same period a year ago, primarily due to lower effective interest yield on our marketable securities in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$1.3 million for the six months ended June 30, 2026, compared to the same period a year ago, due to the Loan Facility entered into in the fourth quarter of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generated any revenue from product sales and have incurred significant operating losses and negative cash flows from our operations. Through June 30, 2026, we have primarily funded our operations from sales of shares of our redeemable convertible preferred stock, issuances of convertible notes, an upfront payment under the Gilead Agreement, net proceeds from the IPO, net proceeds from the ATM Facility, net proceeds from the underwritten public offering of our common stock as well as the borrowing under our Loan Facility.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Shelf Registration Statement and the ATM Facility</w:t>
      </w:r>
    </w:p>
    <w:p>
      <w:pPr>
        <w:pStyle w:val="TextBody"/>
        <w:bidi w:val="0"/>
        <w:spacing w:before="120" w:after="120"/>
        <w:jc w:val="left"/>
        <w:rPr>
          <w:rFonts w:ascii="Times New Roman" w:hAnsi="Times New Roman"/>
          <w:sz w:val="20"/>
        </w:rPr>
      </w:pPr>
      <w:r>
        <w:rPr>
          <w:rFonts w:ascii="Times New Roman" w:hAnsi="Times New Roman"/>
          <w:color w:val="000000"/>
          <w:sz w:val="20"/>
        </w:rPr>
        <w:t>On March 27, 2025, we filed a shelf registration statement on Form S-3, or the Prior Registration Statement, covering the offer and sale from time to time of up to $250.0 million in aggregate offering price of shares of our common stock, shares of our preferred stock, debt securities, warrants, rights, units and/or depositary shares. The Prior Registration Statement was declared effective by the SEC on April 15, 2025. The Prior Registration Statement included a sales agreement prospectus, or the Prior ATM Prospectus, covering the offer and sale from time to time through or to Jefferies, LLC or Jefferies, as sales agent, of up to $50.0 million in aggregate offering price of shares of our common stock under an Open Market Sale Agreement</w:t>
      </w:r>
      <w:r>
        <w:rPr>
          <w:rFonts w:ascii="Times New Roman" w:hAnsi="Times New Roman"/>
          <w:color w:val="000000"/>
          <w:sz w:val="13"/>
        </w:rPr>
        <w:t>SM</w:t>
      </w:r>
      <w:r>
        <w:rPr>
          <w:rFonts w:ascii="Times New Roman" w:hAnsi="Times New Roman"/>
          <w:color w:val="000000"/>
          <w:sz w:val="20"/>
        </w:rPr>
        <w:t xml:space="preserve"> entered into with Jefferies on March 27, 2025, or the ATM Agreement. In November 2025, we sold 2,477,100 shares under the Prior ATM Prospectus for net proceeds of $16.4 million after deducting the sales agent’s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On March 26, 2026, we filed a new shelf registration statement on Form S-3, or the 2026 Registration Statement, covering the offer and sale from time to time of up to $300.0 million in aggregate offering price of shares of our common stock, shares of our preferred stock, debt securities, warrants, rights, units and/or depositary shares. The 2026 Registration Statement was declared effective by the SEC on April 2, 2026, and the Prior Registration Statement, including the Prior ATM Prospectus, ceased to be available for further utilization at that time. The terms of any offering under the 2026 Registration Statement will be established at the time of such offering and will be described in a prospectus supplement to the 2026 Registration Statement filed with the SEC prior to the completion of any such offering. The 2026 Registration Statement included a sales agreement prospectus, or the 2026 ATM Prospectus, covering the offer and sale from time to time through or to Jefferies, as sales agent, of up to $100.0 million in aggregate offering price of shares of our common stock under the ATM Agreement, or the ATM Facility. In June 2026, we sold 426,038 shares under the 2026 ATM Prospectus for net proceeds of $3.6 million, after deducting the sales agent’s fees. As of June 30, 2026, $96.3 million remains allocated and available under the 2026 ATM Prospectus and $200.0 million remains available and allocated under the 2026 Registration Statement.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Loan and Security Agreement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On October 31, 2025, we entered into a Loan and Security Agreement, or the Loan and Security Agreement, with Oxford Finance LLC, or Oxford Finance, as collateral agent, or the Collateral Agent, and certain lenders from time to time party thereto, or the Lenders. The Loan and Security Agreement provides a term loan facility, or the Loan Facility, of up to an aggregate principal amount of $150.0 million in senior secured credit facilities.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July 8, 2026, we, the Collateral Agent, and the Lenders entered into an amendment to the Loan and Security Agreement, or the Amendment, pursuant to which the parties agreed, among other things, to extend the availability of the remaining $15.0 million of Term A Loans through December 31, 2026, in exchange for us paying an upfront cash fee of $187,500. In addition, if we do not draw the full remaining $15.0 million of Term A Loans by December 31, 2026, we will pay the Lenders a non-utilization fee equal to 1.0% of the aggregate undrawn amount of the Term A Loans.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June 30, 2026, the term loan balance was $24.9 million, which reflects the $25.0 million borrowed under the Term A Loans net of unamortized debt discount and debt issuance costs of $0.1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Refer to Note 8, "Term Loan" to the condensed financial statements included in this Quarterly Report on Form 10-Q for additional details regarding the Loan and Security Agreement, as amended by the Amendment.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December 2025 Offering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December 17, 2025, we entered into an underwriting agreement, or the Underwriting Agreement, with several underwriters named therein, or the Underwriters, relating to the issuance and sale of our common stock in an underwritten public offering pursuant to the Prior Registration Statement. On December 18, 2025, we closed the offering and issued an aggregate of 13,333,333 shares of our common stock for net proceeds of $93.7 million. Additionally, under the terms of the Underwriting Agreement, the Underwriters had an option to purchase up to an additional 1,999,999 shares of common stock, which the Underwriters exercised on December 24, 2025 and purchased 704,499 shares of our common stock for net proceeds of $5.0 million to us.</w:t>
      </w:r>
    </w:p>
    <w:p>
      <w:pPr>
        <w:pStyle w:val="TextBody"/>
        <w:bidi w:val="0"/>
        <w:jc w:val="left"/>
        <w:rPr>
          <w:rFonts w:ascii="Times New Roman" w:hAnsi="Times New Roman"/>
          <w:color w:val="000000"/>
          <w:sz w:val="20"/>
        </w:rPr>
      </w:pPr>
      <w:r>
        <w:rPr>
          <w:rFonts w:ascii="Times New Roman" w:hAnsi="Times New Roman"/>
          <w:color w:val="000000"/>
          <w:sz w:val="20"/>
        </w:rPr>
        <w:t>As of June 30, 2026, we had $199.4 million in cash, cash equivalents and available-for-sale marketable securities.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uses of cash are to fund our operations, which consist primarily of research and development expenditures related to our programs and, to a lesser extent, general and administrative expenditures. We anticipate that we will continue to incur significant and increasing expenses for the foreseeable future as we continue to advance our product candidates, expand our corporate infrastructure, further our research and development initiatives for our product candidates and incur costs associated with the potential commercialization of our product candidates, if approved. We are subject to all of the risks typically related to the development of new product candidates, and we may encounter unforeseen expenses, difficulties, complications, delays and other unknown factors that may adversely affect our business. We anticipate that we will need substantial additional funding in connection with our continuing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significant losses and negative cash flows from operations since our inception. As of June 30, 2026, we had an accumulated deficit of $502.9 million. Based on the current cash forecast, management estimates that its existing cash and cash equivalents and available-for-sale marketable securities balances, net proceeds from the sale of shares under the ATM Facility (see Note 9, “Common Stock”, to the condensed financial statements included in this Quarterly Report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Form 10-Q) and the term loans available under the Loan Facility with Oxford Finance will be sufficient to fund our operating plan and capital expenditure requirements for at least one year from the filing date of this Quarterly Report on Form 10-Q. The forecast of cash resources and planned operations involves risks and uncertainties, and the actual amount of expenses could vary materially as a result of a number of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to fund operating expenses is impacted by the timing of when we pay these expenses, as reflected in the change in our outstanding accounts payable, accrued expenses and prepaid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funding requirements will depend on many factors, including, but not limited to,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timing, scope, progress and results of our preclinical studies and clinical trials for our current and future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number, scope and duration of clinical trials required for regulatory approval of our current and future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outcome, timing and cost of seeking and obtaining regulatory approvals from the FDA and comparable foreign regulatory authorities for our product candidates, including any requirement to conduct more studies or generate additional data beyond that which we currently expect would be required to support a Biologic License Application;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 of manufacturing clinical and commercial supplies, as well as scale-up of our current and future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potential increase in the number of our employees and expansion of our physical facilities to support growth initiatives;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litigation expenses we incur to defend against any claims, including the cost of filing and prosecuting our patent applications, and maintaining and enforcing our patents and other intellectual property rights;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 of defending intellectual property disputes, including patent infringement actions brought by third parties against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receive marketing approval;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amount of revenue, if any, received from commercial sales of our product candidates, should any of our product candidates receive marketing approval;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implementation of various computerized informational systems and efforts to enhance operational systems;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costs associated with being a public company;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impact of inflation, as well as other factors, including economic uncertainty and geopolitical tensions, which may exacerbate the magnitude of the factors discussed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operating plans may change, and we may need additional funds to meet operational needs and capital requirements for clinical trials, product launch-readiness activities and other research and development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as we can generate significant revenue from product sales, if ever, we expect to finance our operations through public or private equity or debt financings, or 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expenditures or declaring dividends. If we raise additional funds through collaboration or licensing arrangements with third parties or other strategic transactions, we may have to relinquish rights to our intellectual property, future revenue streams, research programs, or product candidates, or we may have to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primary sources and uses of cash for the periods presented:</w:t>
      </w:r>
    </w:p>
    <w:p>
      <w:pPr>
        <w:pStyle w:val="TextBody"/>
        <w:bidi w:val="0"/>
        <w:jc w:val="left"/>
        <w:rPr/>
      </w:pPr>
      <w:r>
        <w:rPr/>
        <w:t> </w:t>
      </w:r>
    </w:p>
    <w:tbl>
      <w:tblPr>
        <w:tblW w:w="7504" w:type="dxa"/>
        <w:jc w:val="left"/>
        <w:tblInd w:w="0" w:type="dxa"/>
        <w:tblLayout w:type="fixed"/>
        <w:tblCellMar>
          <w:top w:w="28" w:type="dxa"/>
          <w:left w:w="28" w:type="dxa"/>
          <w:bottom w:w="28" w:type="dxa"/>
          <w:right w:w="28" w:type="dxa"/>
        </w:tblCellMar>
      </w:tblPr>
      <w:tblGrid>
        <w:gridCol w:w="4841"/>
        <w:gridCol w:w="246"/>
        <w:gridCol w:w="211"/>
        <w:gridCol w:w="736"/>
        <w:gridCol w:w="166"/>
        <w:gridCol w:w="146"/>
        <w:gridCol w:w="211"/>
        <w:gridCol w:w="736"/>
        <w:gridCol w:w="211"/>
      </w:tblGrid>
      <w:tr>
        <w:trPr/>
        <w:tc>
          <w:tcPr>
            <w:tcW w:w="48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$81.9 million and $76.9 million for the six months ended June 30,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operating activities for the six months ended June 30, 2026, was primarily due to our net loss of $78.0 million, decreased by non-cash charges of $7.7 million but increased by $11.6 million for changes in our net operating assets and liabilities. The non-cash charges primarily consisted of a $6.7 million stock-based compensation expense, a $1.0 million non-cash lease expense and a $0.8 million depreciation and amortization expense, partially offset by $0.9 million of income related to the accretion of discounts on available-for-sale marketable securities. The change in our net operating assets and liabilities was primarily due to a decrease in accrued compensation of $4.5 million, a decrease in other current liabilities of $4.4 million, a decrease in accounts payable of $2.4 million, a decrease in operating lease liability of $1.2 million, and an increase in prepaid expense and other current assets of $0.5 million, partially offset by a decrease in other non-current assets of $1.5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operating activities for the six months ended June 30, 2025, was primarily due to our net loss of $86.7 million, decreased by non-cash charges of $3.8 million and by $6.0 million for changes in our net operating assets and liabilities. The non-cash charges primarily consisted of a $4.7 million stock-based compensation expense, a $1.4 million non-cash lease expense, a $1.0 million depreciation and amortization expense and a $0.6 million impairment charge of a capitalized software, partially offset by $4.0 million of income related to the accretion of discounts on available-for-sale marketable securities. The change in our net operating assets and liabilities was primarily due to an increase in accounts payable of $5.2 million, a decrease in prepaid expense and other current assets of $2.0 million, an increase in other accrued expenses and current liabilities of $1.0 million, and an increase in accrued compensation of $0.1 million, partially offset by a decrease in operating lease liability of $1.7 million and an increase in other non-current assets of $0.5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six months ended June 30, 2026, was $14.1 million, which consisted of $147.8 million of purchases of available-for-sale marketable securities, $0.3 million of purchases of property and equipment and $0.3 million of capitalization of internal-use software costs, partially offset by $134.3 million in proceeds from maturities of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six months ended June 30, 2025, was $34.7 million, which consisted of $210.8 million in proceeds from maturities of available-for-sale marketable securities, offset by $175.9 million of purchases of available-for-sale marketable securities and $0.2 million of capitalized internal-use-software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six months ended June 30, 2026, was $3.7 million, which consisted of $2.5 million in proceeds from issuance of common stock shares under the ATM Facility, net of the sales agent's fees and $1.9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million in proceeds from the exercise of stock options, partially offset by $0.4 million related to payment of tax withholding obligations for the net settlement of restricted stock units that vested during the six months ended June 30, 2026, $0.2 million related to finance lease obligations and $0.1 million of payments for offering costs related to the filing of the 2026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for the six months ended June 30, 2025, was $1.1 million, which consisted of $0.6 million related to finance lease obligations, $0.4 million related to deferred offering costs paid in connection with the filing of the Prior Registration Statement and less than $0.1 million related to shares withheld to satisfy tax withholding obligations in connection with restricted stock units that vested during the six months ended June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contracts in the normal course of business with CROs for clinical trials, with CMOs for clinical supplies manufacturing and with other vendors for preclinical studies, supplies and other products and services for operating purposes. These agreements generally provide for termination at the request of either party generally with less than one-year notice and, therefore, we believe that our non-cancellable obligations under these agreements are not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milestone, royalty and other payments due to third parties under our existing license and collaboration agreements. Refer to Note 6, "License and Collaboration Agreements" to the condensed financial statements included in this Quarterly Report on Form 10-Q for additional details. We cannot estimate when such payments will be due and none of these events were probable to occur as of June 30, 2026. As of June 30, 2026, and December 31, 2025, we recognized a sublicensing fee of $3.8 million in our condensed balance sheets payable to Kite Therapeutics, Inc. by December 31, 2026 as discussed in Note 6 to the condensed financial statements included in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leased office and laboratory space in Emeryville, California under operating leases, or the Emeryville Lease. On February 27, 2026, we entered into a lease amendment to reduce total office and lab space and added new office space in the same building commencing on July 2, 2026. The term of the Emeryville Lease is through August 31, 2030.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multiple leases for laboratory equipment with 36-month terms that are accounted for as finance leases. As of June 30, 2026, our non-cancellable lease obligations were $10.5 million and $0.1 million under operating and finance leases, respectively, of which $2.4 million and $0.1 million related to operating and finance leases, respectively, are due within the next 12 months.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results of operations or cash flows is disclosed in Note 2, “Summary of Significant Accounting Policies”, to the condensed financial statements included in this Quarterly Report on Form 10-Q.</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significant accounting policies and critical accounting estimates are described in Note 2 to our audited financial statements for the year ended December 31, 2025 included in Part II, Item 8 of our Annual Report on Form 10-K for the year ended December 31, 2025, filed with the SEC on March 26, 2026. There have been no material changes to our significant accounting policies or critical accounting estimates during the six months ended June 30, 2026.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(a) are no longer an emerging growth company or (b) affirmatively and irrevocably opt out of the extended transition period provided in the JOBS Act. As a result, our condensed financial statements may not be comparable to those of companies that comply with the new or revised accounting pronouncements as of public company effective dates. We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choose to early adopt any new or revised accounting standards whenever such early adoption is permitted for private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Form 10-K and, similar to emerging growth companies, smaller reporting companies have reduced disclosure obligations regarding executive compensation.</w:t>
      </w:r>
    </w:p>
    <w:p>
      <w:pPr>
        <w:pStyle w:val="TextBody"/>
        <w:bidi w:val="0"/>
        <w:spacing w:before="120" w:after="283"/>
        <w:jc w:val="left"/>
        <w:rPr/>
      </w:pPr>
      <w:r>
        <w:rPr/>
        <w:t> </w:t>
      </w:r>
    </w:p>
    <w:p>
      <w:pPr>
        <w:pStyle w:val="TextBody"/>
        <w:bidi w:val="0"/>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Securities Exchange Act of 1934, as amended, or the Exchange Act, and are not required to provide the information required under this item.</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Our management, with the participation of our Chief Executive Officer, or the CEO, and Chief Financial Officer, or the CFO (our principal executive officer and principal financial officer, respectively), evaluated the effectiveness of our disclosure controls and procedures as of June 30, 2026. The term “disclosure controls and procedures,” as defined in Rules 13a-15(e) and 15d-15(e) under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Based on their evaluation, the CEO and the CFO have concluded that our disclosure controls and procedures were effective at the reasonable assurance level as of June 30, 2026.</w:t>
      </w:r>
    </w:p>
    <w:p>
      <w:pPr>
        <w:pStyle w:val="TextBody"/>
        <w:bidi w:val="0"/>
        <w:spacing w:before="60" w:after="60"/>
        <w:jc w:val="left"/>
        <w:rPr/>
      </w:pPr>
      <w:r>
        <w:rPr/>
        <w:t> </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Limitations on the Effectiveness of Controls</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In designing and evaluating the disclosure controls and procedures, management recognizes that because of the inherent limitations in all control systems, no evaluation of controls can provide absolute assurance that all control issues and instances of fraud, if any, within the Company have been or would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In addition, the design of disclosure controls and procedures reflect the fact that there are resource constraints and the benefits of controls and procedures will be considered relative to their costs.</w:t>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our business. In December 2024, a shareholder class action complaint was filed in the United States District Court for the Northern District of California against our Company, certain of our current and former officers and directors, and the underwriters of our IPO. Per a stipulated schedule, an amended complaint was filed on May 2, 2025, or the Amended Complaint. The Amended Complaint alleges that the registration statement on Form S-1 filed in connection with our IPO and the prospectus contained therein contained material misstatements or omissions in violation of federal securities laws. Pursuant to a stipulated order setting a response schedule, on June 26, 2025, the defendants filed a motion to dismiss all of the claims in the Amended Complaint, with plaintiff filing an opposition on August 18, 2025. Defendants filed their reply brief in support of the motion to dismiss on September 26, 2025. Following oral argument, on March 23, 2026, the court issued an order granting defendants’ motion to dismiss on all claims, with leave to amend the complaint. On April 20, 2026, plaintiff filed another amended complaint alleging the same claims under the Securities Act of 1933, as amended. Defendants subsequently filed a motion to dismiss the entire second amended complaint on May 19, 2026. Plaintiff filed an opposition to the defendants’ motion to dismiss on June 17, 2026. Defendants filed a reply brief in support of the motion to dismiss on July 2, 2026. A hearing on the motion to dismiss is scheduled for September 3,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on May 14, 2025, a stockholder derivative complaint was filed in the United States District Court for the Northern District of California against certain of our current and former officers and directors which was captioned Perez v. Seidenberg, et al., Case No. 3:25-cv-04163-PCP, or the Perez Action. On May 22, 2025, another stockholder derivative complaint was filed alleging the same claims against the same individual defendants captioned McDaniel v. Seidenberg, et al., Case No. 3:25-cv-04393-PCP, or the McDaniel Action, and together with the Perez Action, the Derivative Actions. The complaints filed in the Derivative Actions allege claims related to the allegations raised in the Amended Complaint. On June 2, 2025, the court entered a stipulation and order to stay the Perez Action pending the disposition of a motion to dismiss the Amended Complaint in the related securities class action. On June 25, 2025, the court entered a stipulation and order to consolidate the Derivative Actions as In re Kyverna Therapeutics Derivative Litigation, Case No. 5:25-cv-04163-PCP. Finally, on July 22, 2025, the court entered a stipulation and order staying the consolidated derivative action pending the disposition of the motion to dismiss the Amended Complaint in the related securities class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have good and substantial defenses to the claims in the Amended Complaint and the Derivative Actions, but there is no guarantee that we will be successful in these efforts. We are unable to determine whether any loss ultimately will occur or to estimate the range of such loss; therefore, no amount of loss has been accrued by us in our financial statements as of and for the quarter ended June 30, 2026. Regardless of outcome, litigation can have an adverse impact on us due to defense and settlement costs, diversion of management resources, negative publicity, reputational harm and other factors.</w:t>
      </w:r>
    </w:p>
    <w:p>
      <w:pPr>
        <w:pStyle w:val="TextBody"/>
        <w:bidi w:val="0"/>
        <w:spacing w:before="360" w:after="283"/>
        <w:jc w:val="left"/>
        <w:rPr>
          <w:rFonts w:ascii="Times New Roman" w:hAnsi="Times New Roman"/>
          <w:b/>
          <w:color w:val="231F20"/>
          <w:sz w:val="20"/>
        </w:rPr>
      </w:pPr>
      <w:bookmarkStart w:id="14" w:name="item_1_a_riskfactor"/>
      <w:bookmarkEnd w:id="14"/>
      <w:r>
        <w:rPr>
          <w:rFonts w:ascii="Times New Roman" w:hAnsi="Times New Roman"/>
          <w:b/>
          <w:color w:val="231F2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stock involves a high degree of risk. Before making an investment decision, you should carefully consider the risks described herein, as well as the risks and uncertainties discussed above under “Special Note Regarding Forward-Looking Statements”, before deciding whether to invest in our common stock. Our Annual Report on Form 10-K for the year ended December 31, 2025, filed with the SEC on March 26, 2026, in Part I, Item 1A, Risk Factors, describes important risk factors that could cause our business, financial condition, results of operations and growth prospects to differ materially from those indicated or suggested by forward-looking statements made in this Quarterly Report on Form 10-Q or presented elsewhere by management from time to time. Additional risks and uncertainties not currently known to us or that we currently deem to be immaterial may also materially and adversely affect our business. Risk factors marked with an asterisk (*) below include a change from or an update to the risk factors included in our Annual Report on Form 10-K for the fiscal year ended December 31, 2025, filed with the SEC on March 26,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Below is a summary of material factors that make an investment in our securities speculative or risky. Importantly, this summary does not address all of the risks that we face. Additional discussion of the risks and uncertainties summarized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risk factor summary, as well as other risks that we face, follows this summary. This summary is qualified in its entirety by that more complete discussion of such risks and uncertainties: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operating history, have incurred substantial net losses and anticipate that we will continue to incur net losses for the foreseeable future. We have no products approved for commercial sale, have never generated any revenue from product sales and may never be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capital to finance our operations. If we are unable to raise such capital when needed, or on acceptable terms, we may be forced to delay, reduce and/or eliminate one or more of our research and drug development programs or launch readiness and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depends entirely on the success of our product candidates and we cannot guarantee that any or all of our product candidates will successfully complete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any patient who receives our product candidate in an investigator-initiated trial or on a named patient basis should not be viewed as representative of how the product candidate will perform in our clinical trials and may not be able to be used to establish safety or efficacy for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to grow our organization, and we may experience difficulties in managing our growth and expanding our operations, which could adversely affect our business. In addition, if we lose key management or other scientific or clinical personnel, or if we fail to recruit additional highly skilled personnel, our business, results of operations and financial condition could be adversely affected.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encounter difficulties enrolling patients in clinical trials, our clinical development activities could be delayed or otherwise adversely affected, which could adversely affect our business, results of operations and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competition from entities that have made substantial investments into the rapid development of novel treatments for immunological indications, including large and specialty pharmaceutical and biotechnology companies, some of which already have approved therapies in our current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Use of our product candidates could be associated with side effects, adverse events, or other properties or safety risks, which could cause us to suspend or discontinue clinical trials, cause us to abandon a product candidate, delay or preclude approval, prevent market acceptance, limit the commercial profile of an approved label or result in other significant negative consequences that could severely harm our business, results of operations and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relied and expect to continue to rely on third parties to conduct our preclinical studies and clinical trials, as well as investigator-initiated trials. If those third parties do not perform as contractually required, fail to satisfy legal or regulatory requirements, miss expected deadlines or terminate the relationship, our development programs could be delayed, or become more costly or unsuccessful, and we may never be able to seek or obtain regulatory approval for or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intellectual property licensed from third parties and termination of any of these licenses could result in the loss of significant rights, which could adversely affect our business, results of operations and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identical to ours, and our ability to successfully develop and commercialize our product candidates may be adversely affected.</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successful in obtaining or maintaining necessary rights to develop current and any future product candidates on acceptable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and comparable foreign authorities are lengthy, time-consuming and inherently unpredictable, and if we are ultimately unable to obtain regulatory approval for our product candidates, our business will be substantially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investigated a serious risk of T-cell malignancy following BCMA-directed or CD19-directed autologous chimeric antigen receptor (CAR) T cell immunotherapies, such as KYV-101, and implemented boxed warnings and class labeling changes for certain currently marketed CAR T cell immunotherapies. In addition, the FDA noted that patients and clinical trial participants receiving treatment with these products should be monitored life-long for secondary malignancies. In April 2024, the FDA issued a public safety statement announcing its initiation of the class labeling changes described above.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require us to include a boxed warning on any of our product candidates that receive regulatory approval or impose additional post-approval requirements on any of our product candidates that receive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stockholders and management own a significant percentage of our common stock and will be able to control matters subject to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global economic conditions, including any adverse macroeconomic conditions or geopolitical events, could adversely affect our business, financial condition, results of operations or liquidity, either directly or through adverse impacts on certain of the third parties on which we rely to conduct certain aspects of our preclinical studies or clinical trials.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Limited Operating History and Financial Position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limited operating history, have incurred substantial net losses and anticipate that we will continue to incur net losses for the foreseeable future. We have no products approved for commercial sale, have never generated any revenue from product sales and may never be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late-stage clinical biopharmaceutical company with a limited operating history. We were formed in 2018 and we have devoted substantially all of our efforts and financial resources to organizing and staffing our company, business planning, raising capital, discovering product candidates and securing related intellectual property rights, and conducting research and development activities for our product candidates, including miv-cel. Consequently, we have no meaningful operations upon which to evaluate our business, and predictions about our future success and viability may not be as accurate as they could be if we had a longer operating history or a history of successfully developing and commercializing product candidates. Investment in biotechnology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We have not yet demonstrated the ability to progress any product candidate through clinical trials, we have no products approved for commercial sale and we have not generated any revenue from product sales to date. We continue to incur significant research and development and other expenses related to our ongoing operations. As a result, we are not profitable and we have incurred net losses since our inception through June 30, 2026. For the six months ended June 30, 2026 and 2025, we reported a net loss of $78.0 million and $86.7 million, respectively. As of June 30, 2026, we had an accumulated deficit of $502.9 million. We expect to continue to incur significant losses for the foreseeable future, and we expect these losses to increase as we continue our research and development, and seek regulatory approvals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expenses will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further clinical trials for miv-cel and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 additional product candidates and acquire rights from third parties to those product candidates through licenses or other acquisitions, and conduct development activities, including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procure the manufacturing of preclinical, clinical and commercial supply of our current and future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for our product candidates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commercialize our current product candidates or any future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take steps toward our goal of being an integrated biopharma company capable of supporting commercial activities, including establishing sales, marketing and distribution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clinical, scientific, operations and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and maintain operational, financial and information management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 maintain, expand, enforce and defend our rights in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 against third-party interference, infringement and other intellectual property claims,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 any competing therapies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in our preclinical studies or clinical trials and regulatory approval for our product candidates, including as a result of macroeconomic conditions, geopolitical conflicts or other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consider international expansion;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costs associated with operating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become and remain profitable, we and any current or potential future collaborators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if we obtain marketing approval; obtaining market acceptance for such products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the price of our common stock, and could impair our ability to raise capital, maintain our research and development efforts, expand our business or continue our operations. A decline in the value of our company also could cause you to lose all or part of your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succeed in commercializing one or more of our product candidates, we will continue to incur substantial research and development and other expenditures to develop and market additional product candidates. We also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launch readiness and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a very time-consuming, expensive and uncertain process that takes years to complete. Our operations have consumed substantial amounts of cash since our inception. We expect to continue to spend substantial amounts to continue the preclinical and clinical development of, and seek regulatory approval for, miv-cel and any future product candidates.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if we obtain regulatory approval to market any of our product candidates, we expect to incur significant commercialization expenses related to product sales, marketing and expanding and optimizing manufacturing and distribution channels. We expect our expenses to increase as we continue our rolling </w:t>
      </w:r>
      <w:r>
        <w:rPr>
          <w:rFonts w:ascii="Times New Roman" w:hAnsi="Times New Roman"/>
          <w:color w:val="000000"/>
          <w:sz w:val="20"/>
          <w:u w:val="single"/>
        </w:rPr>
        <w:t xml:space="preserve">Biologic License Application, or </w:t>
      </w:r>
      <w:r>
        <w:rPr>
          <w:rFonts w:ascii="Times New Roman" w:hAnsi="Times New Roman"/>
          <w:color w:val="000000"/>
          <w:sz w:val="20"/>
        </w:rPr>
        <w:t>BLA, submission and advance our SPS launch-readiness activities, including commercial site activation activities, payer engagement and healthcare professional education, as well as increasing manufacturing capacity to support a potential commercial launch of miv-cel. Other unanticipated costs may also arise.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we will need to obtain substantial additional funding in order to maintain our continuing operations beyond our current expected operating cash runway.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as we can generate significant revenue from sales of our product candidates, if ever, we will be required to obtain further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commercialization efforts.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depends entirely on the success of our product candidates and we cannot guarantee that any or all of our product candidates will successfully complete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products approved for commercial sale or for which regulatory approval to market has been sought. We have invested a significant portion of our efforts and financial resources in the development of our product candidates, each of which is still in clinical development, and expect that we will continue to invest heavily in these product candidates, as well as in any future product candidates we may develop. Our business and our ability to generate revenue, which we do not expect will occur for many years, if ever, are substantially dependent on our ability to develop, obtain regulatory approval for, and then successfully commercialize our product candidates, which may never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will require substantial additional preclinical and clinical development time, regulatory approval, commercial manufacturing arrangements, establishment of a commercial organization, significant marketing efforts and further investment before we can generate any revenue from product sales. We currently generate no revenue and we may never be able to develop or commercialize any products. We cannot assure you that we will meet our timelines for our current or future clinical trials, which may be delayed or not completed for a number of reasons. Our product candidates are susceptible to the risks of failure inherent at any stage of product development, including the appearance of unexpected adverse events or failure to achieve primary endpoints in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product candidates are successful in clinical trials, we will not be permitted to market or promote any of our product candidates until we receive regulatory approval from the U.S. Food and Drug Administration, or FDA, or comparable foreign regulatory authorities, and we may never receive sufficient regulatory approval that will allow us to successfully commercialize 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be certain that our current or any future product candidates will be successful in clinical trials or receive regulatory approval. The FDA may also consider its approvals of competing products, which may alter the treatment landscape concurrently with its review of our investigational new drug applications, or INDs, or other submissions, and which may lead to changes in the FDA’s review requirements that have been previously communicated to us and our interpretation thereof, including changes to requirements for clinical data or clinical trial design. Such changes could delay approval or necessitate withdrawal of our INDs or other submissions.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product candidates is approved for marketing by applicable regulatory authorities, our ability to generate revenue from such product will depend on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 regulatory approval for the targeted patient populations and claims that are necessary or desirable for successful marketing;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products through contract manufacturing organizations, or CMOs, in sufficient quantities and at acceptable quality and manufacturing cost to meet commercial demand at launch and thereafter;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our products competitively such that third-party and government reimbursement permits broad product adoption;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the superiority of our products compared to the standard of care, as well as other therapies in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market demand for our products through our own marketing and sales activities, and any other arrangements to promote these products that we may otherwise establish;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commercialize any of our products that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and obtain reimbursement and collections for any of our products that receive regulatory approval as part of the commercialization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agreements with wholesalers, distributors, pharmacies, and group purchasing organizations on commercially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protect and enforce patent and other intellectual property protection and regulatory exclusivity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compliance with applicable laws, regulations and guidance specific to commercialization, including interactions with healthcare professionals and patient advocacy groups, and communication of healthcare economic information to payors and formularies;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achieve market acceptance of our products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a distribution and logistics network capable of product storage within our specifications and regulatory guidelines, and further capable of timely product delivery to commercial clinical sites;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ensure that our products will be used as directed and that additional unexpected safety risks will not arise.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continue to incur significant increased costs as a result of operating as a public company, and our management will be required to devote substantial time and resources to new compliance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are subject to the reporting requirements of the Securities Exchange Act of 1934, as amended, or the Exchange Act, the Sarbanes-Oxley Act of 2002, or the Sarbanes-Oxley Act, the Dodd-Frank Wall Street Reform and Consumer Protection Act, the listing requirements of The Nasdaq Stock Market LLC, or Nasdaq, and other applicable securities rules and regulations. Complying with these rules and regulations has increased and will increase our legal and financial compliance costs, has made and will make some activities more difficult, time consuming or costly, and has increased and will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have hired and plan to continue to hire additional accounting, financial reporting, internal controls and other finance personnel or consultants, which has increased and will increase our costs and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previously identified material weaknesses in our internal control over financial reporting, which were subsequently remediated. If we experience additional material weaknesses in the future or otherwise fail to maintain effective internal control over financial reporting in the future, we may not be able to accurately or timely report our financial condition or results of operations, which may adversely affect investor confidence in us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previously identified material weaknesses in the design and operating effectiveness of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material weaknesses related to (i) an insufficient number of qualified resources to ensure adequate oversight and accountability over the performance of controls, including retention of control evidence, (ii) ineffective identification and assessment of risks impacting internal control over financial reporting, and (iii) insufficient evaluation and determination as to whether the components of internal controls were present and functioning based upon evidence maintained for management review controls and activity level controls across substantially all financial statement areas.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material weaknesses contributed to the following additional material weakness: we did not design and maintain effective (i) general controls over information systems that support the financial reporting process, (ii) controls over the completeness and accuracy of information used in the operation of control activities across substantially all financial statement areas, and (iii) management review controls at a sufficient level of precision to detect a material misstatement across substantially all financial statement areas that involve complex and judgmental areas of accounting and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2025, our management, with the oversight of the audit committee of our board of directors, designed and implemented measures to remediate the control deficiencies contributing to the material weaknesses and completed testing of the design and operating effectiveness of all remediated controls. Through testing of our internal controls, our management determined that the controls related to the remediation actions were effectively designed and operated effectively for a sufficient period of time to enable us to conclude that the material weaknesses had been remediated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we may discover new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We may not be able to implement improvements to our management information and control systems in an efficient or timely manner and may discover deficiencies in existing systems and controls. Because of the inherent limitations in all control systems, no evaluation of controls can provide absolute assurance that misstatements due to error or fraud will not occur or that all control issues and instances of fraud will be detected. If we identify additional material weaknesses or deficiencies in internal controls in the future and we are unable to correct them in a timely manner, our ability to record, process, summarize and report financial information accurately and within the time periods specified in the rules and forms of the SEC will be adversely affected. Any such failure could negatively affect the market price and trading liquidity of our common stock, lead to delisting, cause investors to lose confidence in our reported financial information, subject us to civil and criminal investigations and penalties, and generally materially and adversely impact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in the future, we identify material weaknesses in our internal controls over financial reporting or fail to meet the demands that are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business, financial condition and results of operations could suffer.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product candidates, if approved, do not achieve broad market acceptance, the revenue that we generate from their sales will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degree of market acceptance of any of our product candidates will depend on a number of factors, some of which are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efficacy, tolerability and ease of administration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side effects and adverse events associated with our product candidates, and how the safety and tolerability profile of our product candidates compares to those of existing therapies, or those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products are approved and the approved claims that we may make for the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product’s FDA-approved labeling, including potential limitations or warnings for such products that may be more restrictive than other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distribution and use restrictions imposed by the FDA with respect to such product candidates or to which we agree as part of a mandatory risk evaluation and mitigation strategy, or REMS, or voluntary risk management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standard of care for the targeted indications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relative difficulty and cost of administration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treatment as compared to the clinical benefit in relation to alternative treatments or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adequate coverage and reimbursement by third parties, such as insurance companies and other healthcare payors, and by government healthcare programs, including Medicare and Medicaid;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and strength of our marketing and distribution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efficacy and other potential advantages of, and availability of, alternative treatments already used or that may later be approved for any of our intended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such product candidates,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reluctance of physicians to switch their patients’ current standard of 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reluctance of patients to switch from their existing therapy regardless of the safety and efficacy and/or logistical ease of newer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offer such product candidates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and strength of our third-party manufacturer and supplier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about our product or favorable publicity about competitive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liability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Covenants and other provisions in the Loan and Security Agreement with Oxford Finance may restrict our business and operations, and if we do not effectively manage our covenants, our financial condition and results of operations could be adversely affected. In addition, our operations may not provide sufficient cash to meet the repayment obligations of our debt incurred under the Loan and Security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Loan and Security Agreement, dated October 31, 2025, as amended effective June 30, 2026, or the Loan and Security Agreement, we granted to Oxford Finance LLC, or Oxford Finance, a security interest in substantially all of our assets, including our intellectual property. If an event of default occurs under the Loan and Security Agreement, Oxford Finance may foreclose on its security interest and liquidate some or all of these assets, which would harm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of a default in connection with our bankruptcy, insolvency, liquidation, or reorganization, Oxford Finance would have a prior right to substantially all of our assets to the exclusion of our general unsecured creditors. Only after satisfying the claims of Oxford Finance and any unsecured creditors would any amount be available for our equity holders. The pledge of these assets and other restrictions imposed in the Loan and Security Agreement may limit our flexibility in raising capital for other purposes. Because substantially all of our assets are pledged to secure the Loan and Security Agreement obligations, our ability to incur additional indebtedness or to sell or dispose of assets to raise capital may be impaired, which could have an adverse effect on our financial flexibility.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we are unable to comply with certain financial and operating restrictions in the Loan and Security Agreement, we may be limited in our business activities and access to credit or may default under the Loan and Security Agreement. Provisions in the Loan and Security Agreement impose restrictions or require prior approval on our ability, and the ability of certain of our subsidiaries to, among other things: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certain investments and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Guarantee the indebtedness of others or our subsidiaries;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liens or encumbrances;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new lines of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transactions with affiliates;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cash dividends and make distributions;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Redeem or repurchase certain capital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 lease or transfer certain parts of our business or property, including equity interests of our subsidiaries;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Prepay other indebtedness;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new companies and merge or consolidate.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Loan and Security Agreement also contains other customary covenants, including financial covenants requiring us to maintain certain liquidity levels. We may not be able to comply with these covenants in the future. Our failure to comply with these covenants may result in the declaration of an event of default, which, if not cured or waived, may result in, among other things, the acceleration of our repayment obligations under the Loan and Security Agreement. If the maturity of our indebtedness is accelerated, we may not have sufficient funds available for repayment or we may not have the ability to borrow or obtain sufficient funds to replace the accelerated indebtedness on terms acceptable to us or at all. Our failure to repay our obligations under the Loan and Security Agreement would result in Oxford Finance foreclosing on all or a portion of our assets, which could force us to curtail or cease our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our inability to obtain sufficient insurance coverage could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conduct clinical trials of our current or future product candidates and as our product candidates are used in named patient activities, we are exposed to significant product liability risks inherent in the development, testing, manufacturing and marketing of new treatments. Product liability claims could delay or prevent completion of our development programs. If we succeed in marketing products, such claims could result in the FDA, the European Medicines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Agency, or the EMA, or other investigation of the safety and effectiveness of our future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 candidates,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any products that we may develop, and a decline in our stock price. We believe we may face greater risks with respect to our product candidates than many other biotechnology candidates because our product candidates are being developed to address conditions for which many prior products and product technologies have been unsuccessful. In addition, the patient population that our product candidates is seeking to target is often heavily immunosuppressed and may be more likely to experience serious adverse events with potential treatments and have higher morbidity rates generally than other patient populations. We may need to obtain higher levels of product liability insurance for later stages of clinical development or marketing any of our product candidates. Any insurance we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need to grow our organization, and we may experience difficulties in managing our growth and expanding our operations, which could adversely affect our business. In addition, if we lose key management or other scientific or clinical personnel, or if we fail to recruit additional highly skilled personnel, our business, results of operations and financial condition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149 full-time employees. As our development and commercialization plans and strategies develop, we expect to continue to expand our employee base for managerial, operational, financial and other resources. In addition, we have limited experience in manufacturing, marketing and commercialization. As our product candidates enter and advance through preclinical studies and clinical trials, we will need to expand our development and regulatory capabilities and contract with other organizations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Our inability to successfully manage our growth and expand our operations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success depends in part on our continued ability to attract, retain and motivate highly qualified management, clinical and scientific personnel. We are highly dependent upon our Chief Executive Officer and other members of our management team. The loss of services of any of these individuals could delay or prevent the successful development of our product pipeline, initiation or completion of our preclinical studies and clinical trials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San Francisco Bay Area. Given the scarcity of professionals with the scientific knowledge that we require and the competition for qualified personnel among biotechnology businesses, we may not succeed in attracting or retaining the personnel we require to continue and grow our operations.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 which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or other misconduct by our employees, contractors or partners. Misconduct by these parties could include failures to comply with FDA regulations or comparable foreign regulations, to provide accurate information to the FDA or comparable foreign authorities, to comply with federal, state or foreign healthcare fraud and abuse laws and regulations, to report financial information or data timely, completely or accurately, to disclose unauthorized activities to us, or to comply with comparable foreign requirements.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and Medicaid or comparable foreign equivalents, integrity oversight and reporting obligations, and the curtailment or restructuring of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 With respect to our commercial agreements, we indemnify our vendors from any third-party product liability claims that could result from the production, use or consumption of the product, as well as for alleged infringements of any patent or other intellectual property right by a third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our obligation under an indemnification provision exceed applicable insurance coverage or if we were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 or NOL, carryforwards and certain other tax attributes to offset taxable income or taxes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As of December 31, 2025, we had federal NOL carryforwards of $245.1 million and state NOL carryforwards of $333.8 million. Under the Internal Revenue Code of 1986, as amended, or the Code, our U.S. federal net operating losses will not expire and may be carried forward indefinitely but the deductibility of federal net operating losses is limited to no more than 80% of current year taxable income (with certain adjustments). 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to offset its post-change income or taxes may be limited. We have performed a Section 382 study as of December 31, 2025, and expect approximately $2.0 million of federal net operating losses, $12.1 million of federal research and development credits and $1.9 million of California net operating losses to expire unused due to Section 382 limitations. Furthermore, there may be additional ownership changes in the future, including as a result of subsequent changes in our stock ownership, some of which may be outside of our control. As a result, if we undergo an ownership change, and our ability to use our pre-change NOL carryforwards and other pre-change tax attributes (such as research tax credits) to offset our post-change income or taxes is limited, it would harm our future results of operations by effectively increasing our future tax obligations.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and future changes to tax laws could materially adversely affect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our company. For example, the Tax Cuts and JOBS Act, the Coronavirus Aid, Relief, and Economic Security Act, and the Inflation Reduction Act, or the IRA, enacted many significant changes to the U.S. tax laws. Future guidance from the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 be imposed on the corporation repurchasing such stock. Additionally, 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on July 4, 2025, legislation commonly referred to as the One Big Beautiful Bill Act, or the OBBBA, was signed into law. The OBBBA includes significant provisions, such as the extension of many tax law provisions that were set to expire in 2025. The aggregate impact of the OBBBA remains uncertain, but could have a material impact on our business, cash flows, financial condition or results of operations. Further changes to the tax laws or changes to the administrative or judicial interpretations of such laws are possible and may apply with retroactive effect. It is also uncertain if and to what extent various states will conform to federal tax laws. In addition, many countries in Europe, as well as a number of other countries and organizations (including the Organization for Economic Cooperation and Development and the European Commission), have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 Future tax reform legislation could have a material impact on the value of our deferred tax assets, could result in significant one-time charges, and could increase our future tax expense.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operations are concentrated in one location, and we or the third parties upon whom we depend may be adversely affected by a wildfire, an earthquake or other natural disasters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operations are predominantly located in California. Any unplanned event, such as a flood, wildfire, explosion, earthquake,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CMOs and contract research organizations, or CROs,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sites, impacted clinical supply or the conduct of our clinical trials, damaged critical infrastructure, such as the manufacturing facilities of our third-party CMOs, or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Unfavorable global economic conditions, including any adverse macroeconomic conditions or geopolitical events, could adversely affect our business, financial condition, results of operations or liquidity, either directly or through adverse impacts on certain of the third parties on which we rely to conduct certain aspects of our preclinical studies or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The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Following the COVID-19 pandemic and in connection with geopolitical conflicts, global economic and business activities continue to face widespread uncertainties. A severe or prolonged economic downturn, or additional global financial or political crises, could result in a variety of risks to our business, including delayed clinical trials or preclinical studies, delayed approval of our product candidates, delayed ability to obtain patents and other intellectual property protection, weakened demand for our product candidates, if approved, or our ability to raise additional capital when needed on acceptable terms, if at all.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the general economic downturn.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Events involving limited liquidity, defaults, non-performance or other adverse developments that affect financial institutions, or concerns or rumors about any events of these kinds or other similar risks, have in the past and may in the future lead to market-wide liquidity problems. For example, the failures of Silicon Valley Bank, Signature Bank and First Republic Bank in the first half of 2023 resulted in significant disruption in the financial services industry. If any of the banks which hold our cash deposits were to be placed into receivership, we may be unable to access our cash, cash equivalents and available-for-sale marketable securities, which would adversely affect our business. In addition, if any of the third parties on which we rely to conduct certain aspects of our preclinical studies or clinical trials are unable to access funds pursuant to such instruments or lending arrangements with such a financial institution, such parties’ ability to fulfill their obligations to us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our directors or officers may be subject to securities litigation, which is expensive and could divert management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the target of securities litigation in the future, including based on volatility in the market price of our stock and, as described more fully below, we are currently named as a defendant in a securities class action complaint. The stock market in general, and Nasdaq and biopharmaceutical companies in particular, have experienced extreme price and volume fluctuations that have often been unrelated or disproportionate to the operating performance of companies. The market price of our common stock is volatile. In the past, companies that have experienced volatility in the market price of their stock have been subject to securities class action litigation. In addition, certain of our directors and officers are involved in ongoing securities or other lawsuits in the context of their roles with other public companies, and our directors or officers may in the future become involved in such litigation. Securities litigation (including the cost to defend against, and any potential adverse outcome resulting from any such proceeding) can be expensive, time-consuming, damage our reputation and divert our management’s and board of directors’ attention from other business concerns, which could seriously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noted above, in December 2024, a shareholder class action complaint was filed in the United States District Court for the Northern District of California against our company, certain of our current and former officers and directors, and the underwriters of our IPO. Per a stipulated schedule, an amended complaint was filed on May 2, 2025, or the Amended Complaint. The Amended Complaint alleges that the registration statement on Form S-1 filed in connection with our IPO and the prospectus contained therein contained material misstatements or omissions in violation of federal securities laws. Pursuant to a stipulated order setting a response schedule, on June 26, 2025, the defendants filed a motion to dismiss all of the claims in the Amended Complaint, with plaintiff filing an opposition on August 18, 2025. Defendants filed their reply brief in support of the motion to dismiss on September 26, 2025. Following oral argument, on March 23, 2026, the court issued an order granting defendants’ motion to dismiss on all claims, with leave to amend the complaint. On April 20,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plaintiff filed another amended complaint alleging the same claims under the Securities Act of 1933, as amended. Defendants subsequently filed a motion to dismiss the entire second amended complaint on May 19, 2026. Plaintiff filed an opposition to the defendants’ motion to dismiss on June 17, 2026. Defendants filed a reply brief in support of the motion to dismiss on July 2, 2026. A hearing on the motion to dismiss is scheduled for September 3, 2026.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on May 14, 2025, a stockholder derivative complaint was filed in the United States District Court for the Northern District of California against certain of our current and former officers and directors which was captioned </w:t>
      </w:r>
      <w:r>
        <w:rPr>
          <w:rFonts w:ascii="Times New Roman" w:hAnsi="Times New Roman"/>
          <w:i/>
          <w:color w:val="000000"/>
          <w:sz w:val="20"/>
        </w:rPr>
        <w:t>Perez v. Seidenberg, et al.</w:t>
      </w:r>
      <w:r>
        <w:rPr>
          <w:rFonts w:ascii="Times New Roman" w:hAnsi="Times New Roman"/>
          <w:color w:val="000000"/>
          <w:sz w:val="20"/>
        </w:rPr>
        <w:t xml:space="preserve">, Case No. 3:25-cv-04163- PCP, or the Perez Action. On May 22, 2025, another stockholder derivative complaint was filed alleging the same claims against the same individual defendants captioned </w:t>
      </w:r>
      <w:r>
        <w:rPr>
          <w:rFonts w:ascii="Times New Roman" w:hAnsi="Times New Roman"/>
          <w:i/>
          <w:color w:val="000000"/>
          <w:sz w:val="20"/>
        </w:rPr>
        <w:t>McDaniel v. Seidenberg, et al.</w:t>
      </w:r>
      <w:r>
        <w:rPr>
          <w:rFonts w:ascii="Times New Roman" w:hAnsi="Times New Roman"/>
          <w:color w:val="000000"/>
          <w:sz w:val="20"/>
        </w:rPr>
        <w:t xml:space="preserve">, Case No. 3:25-cv-04393-PCP, or the McDaniel Action, and together with the Perez Action, the Derivative Actions. The complaints filed in the Derivative Actions allege claims related to the allegations raised in the Amended Complaint. On June 2, 2025, the court entered a stipulation and order to stay the Perez Action pending the disposition of a motion to dismiss the Amended Complaint in the related securities class action. On June 25, 2025, the court entered a stipulation and order to consolidate the Derivative Actions as </w:t>
      </w:r>
      <w:r>
        <w:rPr>
          <w:rFonts w:ascii="Times New Roman" w:hAnsi="Times New Roman"/>
          <w:i/>
          <w:color w:val="000000"/>
          <w:sz w:val="20"/>
        </w:rPr>
        <w:t>In re Kyverna Therapeutics Derivative Litigation</w:t>
      </w:r>
      <w:r>
        <w:rPr>
          <w:rFonts w:ascii="Times New Roman" w:hAnsi="Times New Roman"/>
          <w:color w:val="000000"/>
          <w:sz w:val="20"/>
        </w:rPr>
        <w:t xml:space="preserve">, Case No. 5:25-cv-04163-PCP. On July 22, 2025, the court entered a stipulation and order staying the consolidated derivative action pending the disposition of the motion to dismiss the Amended Complaint in the related securities class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have good and substantial defenses to the claims in the Amended Complaint and the Derivative Actions, but there is no guarantee that we will be successful in these efforts. We are unable to determine whether any loss ultimately will occur or to estimate the range of such loss; therefore, no amount of loss has been accrued by us in our financial statements for the quarter ended June 30, 2026. Regardless of outcome, litigation can have an adverse impact on us due to defense and settlement costs, diversion of management resources, negative publicity, reputational harm and other factors.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Research, Development and Commercialization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never successfully completed any large-scale or pivotal clinical trials, and we may be unable to do so for any product candidates we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demonstrated our ability to successfully complete any large-scale or pivotal clinical trials, obtain regulatory approvals, manufacture a commercial scale product, or arrange for a third party to do so on our behalf, or conduct sales and marketing activities necessary for successful commercialization. Although our key employees have significant experience in leading clinical development programs, our experience conducting clinical trials with our product candidates is limited. Developing cell therapies, in particular autologous cell therapies, is a complex and resource-intensive process requiring a team of scientists, clinicians, and technical and regulatory experts. We may not be able to file INDs for any of our other product candidates on the timelines we expect, if at all. For example, we cannot be certain that the IND-enabling studies for our product candidates will be completed in a timely manner or be successful or that the manufacturing process will be validated in a timely manner. Even if we submit an IND for a product candidate, the FDA may not clear the IND and allow us to begin clinical trials in a timely manner or at all. The timing of submissions of INDs for our product candidates will be dependent on further preclinical and manufacturing success. Moreover, we cannot be sure that submission of an IND will result in the FDA allowing further clinical trials to begin, or that, once begun, issues will not arise that require us to suspend or terminate clinical trials.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impose stricter approval conditions than we currently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believe that, through our interactions with the FDA under our Regenerative Medicine Advanced Therapy, or RMAT, designation, our Phase 2 clinical trial in SPS, which is a pivotal trial, will be sufficient for use as a registration-enabling study, and in May 2026, we initiated a rolling BLA submission for SPS. However, the FDA or other regulatory agencies may conclude that the trial is not sufficient to be registration-enabling to support a BLA, or similar submission in other jurisdictions. 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marketing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obtain marketing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post-marketing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have the product removed from the market after obtaining marketing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of any patient who receives our product candidate in an investigator-initiated trial or on a named patient basis should not be viewed as representative of how the product candidate will perform in our clinical trials and may not be able to be used to establish safety or efficacy for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supply our investigational product candidate, miv-cel, in investigator-initiated trials and on a named patient basis to patients who have exhausted other treatment options and for whom there is a strong scientific rationale to support the use of an unapproved product candidate. The investigator-initiated trials we supply to are located in the United States and Germany, and the independent investigators of such trials file INDs for the treatment of multiple or individual patients with miv-cel. We also supplied miv-cel for use in single named patients in Germany, through a European distributor. In Germany, these single-patient efforts are termed “Individueller Heilversuch,” or single-patient treatment healing attempts, and occur outside of a controlled clinical trial setting and are not part of a codified German regulatory path. “Individueller Heilversuch” is a form of compassionate use treatment for an individual patient in Germany, where a procedure or treatment that has not received marketing authorization may be used for the expected benefit of a patient who has exhausted all available treatment options, under the discretion of the treating physician. The provision of miv-cel on a named patient basis and in investigator-initiated trials are not a substitute for, or intended to replace, our clinical trials. The primary goal of these compassionate use treatments is not to assess the effectiveness, but rather to provide a treatment option to patients who have exhausted all other options. We evaluate whether to grant such access or similar access in other foreign countries to miv-cel outside of our sponsored clinical trials on a case-by-case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control the design, administration or timing of investigator-initiated trials. Similarly, named patient treatments are carried out by independent physicians in a manner that the physician determines in his or her discretion to be appropriate, which may be inconsistent from patient to patient and may not be conducted in strict compliance with good clinical practices, or GCPs, which can lead to a treatment effect that may differ from that in our controlled clinical trials. In addition, we rely on each investigator and physician to ensure their own compliance with clinical and regulatory requirements in using our product candidate for investigator-initiated trials and named patient activities, and we could be subject to liability if they are out of compliance. Individual patient results from named patient settings, including, but not limited to, data, experiences, images or videos, are observational, patient-specific and reported by the patients’ respective physicians. Because of our lack of control over the settings in which these patients are given miv-cel, there can be no assurances that any positive results from such named patient activities are attributable to miv-cel, or that administration of miv-cel to other patients will have similar positive results. Patient data from these trials and named patient activities are not designed to be aggregated or reported as results and may be highly variable.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we can seek regulatory approval for any of our product candidates, we must demonstrate in well-controlled clinical trials statistically significant evidence that the product candidate is both safe and effective for the indication for which we are seeking approval. The results of investigator-initiated trials and named patient activities may not be used to establish safety or efficacy for purposes of obtaining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contrast, such trials and named patient activities could potentially identify significant concerns with respect to our product candidates that could impact our findings or clinical trials, and adversely affect our ability to obtain marketing approval from the FDA or other applicable regulatory authorities. To the extent the results of investigator-initiated trials or named patient activities are inconsistent with, or different from, the results of our sponsored trials or raise concerns regarding our product candidates, the FDA or a foreign regulatory authority may question the well-controlled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the risk for serious adverse events in the patient population of such trials and named patient activities is high. Adverse events, if attributed to our product candidate, could have a negative impact on the safety profile of our product candidates, and in turn cause significant delays or an inability to obtain regulatory approval or successfully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there is no guarantee that we will be able to continue to receive or publicize observational data through investigator-initiated trials or named patient activities using our product candidates. Our supply capabilities may limit the number of patients who are able to enroll in these trials or the number of named patients that can be treated, and we may in the future need to restructure or pause without advance notice such supply in order to enroll sufficient numbers of patients in our sponsored clinical trials, which could prompt adverse publicity or other disruptions. In addition, there is no clear regulatory framework under which we may supply our unapproved investigational product candidate in named patient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settings, particularly for multiple named patients, outside of a clinical trial or a compassionate use program that is registered with applicable regulatory authorities. Our single-patient healing attempts are not part of a clinical trial or a compassionate use program that is registered with German regulatory authorities. As a result, if such supply of, or publication or other use of the observational data from named patient activities, is found to contravene regulatory requirements, we could potentially be subjected to liability, fines or other consequences, which could be further exacerbated if such patients experience adverse safety events. Furthermore, if we supply our unapproved investigational product candidate to a named patient who would have qualified for enrollment in our company-sponsored clinical trials in Germany, we may be subject to additional penalties.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product candidates are either in preclinical or clinical development and their risk of failure is high. Some of the product candidates and technologies we are developing are novel and unproven, which makes it difficult to accurately predict the challenges we may face with respect to our product candidates as they proceed through development. We believe we may face greater risks with respect to our product candidates than many other biotechnology candidates because our product candidates are being developed to address conditions for which many prior products and product technologies have been unsuccessful. In addition, the patient population that our product candidates is seeking to target is often heavily immunosuppressed and may be more likely to experience serious adverse events with potential treatments and have higher morbidity rates generally than other patient populations. It is also impossible to predict whether our clinical trials will continue and when or if any of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Differences in trial design between early-stage clinical trials and later-stage clinical trials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We may be unable to establish clinical endpoints that applicable regulatory authorities would consider clinically meaningful. Commencing any future clinical trials is subject to finalizing the trial design and submitting an application to the FDA or a similar foreign regulatory authority.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after we make our submission, the FDA or other regulatory authorities could disagree that we have satisfied their requirements to commence our clinical trials or disagree with our study design, which may require us to complete additional trials or amend our protocols or impose stricter conditions on the commencement of clinical trials. In addition, the FDA or other regulatory authority may require information beyond what we plan to provide in or expect to be required for a marketing application, including additional chemistry, manufacturing and control information, or additional preclinical or clinical data to support approval. These requirements may delay or prevent approval and our commercialization plans, or we may decide to abandon the development program.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rely in part on our collaborators, CROs and clinical trial sites to ensure the proper and timely conduct of our clinical trials, including the participant enrollment process, and we have limited influence over their performance. We or our collaborators may experience delays in initiating or completing clinical trials due to unforeseen events or otherwise, that could delay or prevent our ability to receive marketing approval or commercialize our current and any future product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such as the FDA or comparable foreign regulatory agencies, Institutional Review Boards, or IRBs, or ethics committees may impose additional requirements before permitting us to initiate a clinical trial, may not authorize us or our investigators to commence or conduct a clinical trial at a prospective trial site, may not allow us to amend trial protocols, or require that we modify or amend our clinical trial protocols;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reaching, or fail to reach, agreement on acceptable terms with trial sites and CROs, the terms of which can be subject to extensive negotiation and may vary significantly;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sites deviating from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participants required for clinical trials may be larger than we anticipate, enrollment in clinical trials may be slower than we anticipate or participants may drop out or fail to return for post-treatment follow-up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may be greater than we anticipate, or we may have insufficient funds for a clinical trial or to pay the substantial user fees required by the FDA upon the submission of a BLA or new drug application, or NDA;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quality or quantity of data relating to our product candidates or other materials necessary to conduct our clinical trials may be inadequate to initiate or complete a given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reports from clinical testing of other therapies may raise safety, tolerability or efficacy concerns about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in the future experience participant withdrawals or discontinuations from our trials.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also encounter delays if a clinical trial is suspended, put on clinical hold or terminated by us, the IRBs of the institutions in which such trials are being conducted, the FDA, EMA or other regulatory authorities, or if a clinical trial is recommended for suspension or termination by the Data Safety Monitoring Board, or DSMB, for such trial. A suspension or termination may be imposed due to a number of factors, including failure to conduct the clinical trial in accordance with regulatory requirements or our clinical protocols, failure by our CROs to perform in accordance with GCP requirements, or applicable regulatory guidelines in other countries, inspection of the clinical trial operations or trial site by the FDA, EMA or other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EMA or other regulatory authorities may disagree with our clinical trial design and our interpretation of data from clinical trials, or may change the requirements for approval even after they have reviewed and commented on the design for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conduct preclinical and clinical research in collaboration with academic, pharmaceutical and biotechnology entities in which we combine our development efforts with those of our collaborators. Such collaborations may be subject to additional delays because of the management of the trials, contract negotiations and the need to obtain agreement from multiple parties, and may increase our future costs and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encounter difficulties enrolling patients in clinical trials, our clinical development activities could be delayed or otherwise adversely affected, which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and timely completion of clinical trials will require that we enroll a sufficient number of patients who remain in a trial until its conclusion. We may not be able to initiate, continue or complete clinical trials that may be required by the FDA or comparable foreign regulatory authorities to obtain regulatory approval for any of our product candidates if we are unable to locate, enroll and retain a sufficient number of eligible patients to participate in these clinical trials. Patient enrollment, a significant factor in the timing to conduct and complete clinical trials, is affected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criteria for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of patients to clinical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clinical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obtain and maintain patient consents;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recruit clinical trial investigators with the appropriate competencies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clinical trials will drop out of the trials before the administration of our product candidates or trial completion;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new drugs approved for the indication the clinical trial is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perceptions as to the potential advantages of the drug being studied in relation to other available therapies;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outside of our control, such as the effects of global economic conditions and volatility in the credit and financial markets, tariffs imposed by the U.S. and other countries, inflationary pressures, trade wars, the conflict between Russia and Ukraine, war in Iran and other conflicts and instability in the Middle East, instability in Venezuela and other geopolitical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may encounter difficulties in identifying and enrolling patients with a stage of disease appropriate for ongoing or future clinical trials. In addition, the process of finding and diagnosing patients may prove costly. Other pharmaceutical companies with more resources and greater experience in drug development and commercialization are targeting similar treatments,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also limited, we expect to conduct some of our clinical trials at the same clinical trial sites that some of our competitors use, which will reduce the number of patients who are available for our clinical trials at such clinical trial sites, and may delay or make it more difficult to fully enroll our clinical trials. We also rely on CROs and clinical trial sites to enroll subjects in our clinical trials and, while we have agreements governing their services, we will have limited influence over their actual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may make it difficult for us to enroll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a significant volume of data and other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expend our limited resources on particular projects or initiatives or to pursue a particular product candidate in specific indications and fail to capitalize on projects, initiatives,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limited financial and managerial resources, we focus our development efforts on certain projects or initiatives or selected product candidates in certain selected indications. As a result, we may forgo or delay pursuit of other projects, initiatives or opportunities with other product candidates, or other indications for our existing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to establish commercial collaborations for our product candidates, and, if we are not able to establish them on commercially reasonable terms, we may have to alter our development and 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development programs and the potential commercialization of our product candidates will require substantial additional cash to fund expenses. We may decide to collaborate with other pharmaceutical and biotechnology companies for the development and potential commercialization of our product candidates. In December 2021, we entered into a License and Collaboration Agreement, or the Intellia Agreement, with Intellia Therapeutics, Inc., a clinical-stage biotechnology company focused on developing novel therapeutics leveraging CRISPR-based technologies, or Intellia, to research and develop an allogeneic cell therapy product, or the CRISPR Product Candidate. Collaborations are complex and time-consuming to negotiate and document.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competition from entities that have made substantial investments into the rapid development of novel treatments for immunological indications, including large and specialty pharmaceutical and biotechnology companies, some of which already have approved therapies in our current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therapies is highly competitive. Our product candidates, if approved, will face significant competition, including from well-established, currently marketed therapies and our failure to demonstrate a meaningful improvement to the existing standard of care may prevent us from achieving significant market penetration. Many of our competitors have significantly greater resources and experience than we do and we may not be 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compete. We face substantial competition from multiple sources, including large and specialty pharmaceutical and biotechnology companies, hospitals and clinics, academic research institutions and governmental agencies and public and private research institutions. Our competitors compete with us on the level of the technologies employed, or on the level of development of their products as compared to our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any future product candidates. We anticipate that we will continue to face increasing competition as new therapies and combinations thereof, and related data emerge.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product candidates, initially under development for treatment of various immunological indications, if approved, would face competition from existing approved immunological treatments, some of which have achieved commercial success, and potential new therapies that may become available in the future. For example, we are currently developing miv-cel for the treatment of B-cell-driven autoimmune diseases. Life sciences companies have been focused on similar therapeutics for B-cell-driven autoimmune diseases, including autologous and allogeneic CAR T-cell candidates as well as emerging in-vivo platforms and engineered immunotherapy approaches such as T-cell engagers. If approved, miv-cel would compete with currently approved therapeutics, including Rituxan and Ocrevus, both from Roche Holding AG, and generic immunosuppressive or biosimilar drugs, such as mycophenolate mofetil, glucocorticoids, azathioprine, cyclophosphamide, and IVIG, among others we anticipate will receive approvals in the near term. There are also a number of product candidates in clinical development by third parties that are intended to treat some B-cell-driven autoimmune diseases, such as obinutuzumab (targeting CD20 on B cells), which is also from Genentech/Roche Holding AG.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compete successfully, we need to disrupt these currently marketed drugs, meaning that we will have to demonstrate that the relative cost, method of administration, safety, tolerability and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 of care. Furthermore, even if our product candidates demonstrate meaningful improvements in these attributes, acceptance of our products may be inhibited by the reluctance of physicians to switch from existing therapies to our products, or if physicians choose to reserve our products for use in limited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our competitors have significantly greater financial, technical, manufacturing, marketing, sales and supply resources or experience than we have.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and the extent to which participants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achieve our projected development goals in the timeframes we announce and expect, the commercialization of our programs may be delayed and our expenses may increase and, as a result, our stock price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delays relative to our projected timelines are likely to cause overall expenses to increase, which may require us to raise additional capital sooner than expected and prior to achieving targeted development milestones.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our product candidates could be associated with side effects, adverse events or other properties or safety risks, which could cause us to suspend or discontinue clinical trials, cause us to abandon a product candidate, delay or preclude approval, prevent market acceptance, limit the commercial profile of an approved label or result in other significant negative consequences that could severely harm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any of our products, we must demonstrate through lengthy, complex and expensive preclinical studies and clinical trials that our current product candidates, including our lead product candidates, and any future product candidates are safe, pure and potent, or safe and effective, for use in such product candidate’s target indication. Clinical testing is expensive, can take many years to complete and its outcome is inherently uncertain. In addition, some of the product candidates and technologies we are developing are novel and unproven, which makes it impossible to predict whether our clinical trials will continue. The patient population that our product candidates is seeking to target is also often heavily immunosuppressed and may be more likely to experience serious adverse events with potential treatments and have higher morbidity rates generally than other patient populations. Failure can occur at any time during the clinical trial process.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generate desired safety and efficacy data despite having progressed through preclinical studies and initial clinical trials. A number of companies in the biopharmaceutical and biotechnology industries have suffered significant setbacks in advanced clinical trials due to lack of efficacy or unacceptable safety issues, notwithstanding promising results in earlier trials. Most product candidates that commence clinical trials are never approved and there can be no assurance that any of our clinical trials will ultimately be successful or support further clinical development of our current product candidates or any of our future product candidates or ultimately their approval. We do not expect to be able to use the results from any investigator-initiated trials or named patient activities conducted with our product candidates in any regulatory submission for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In addition, negative results from investigator-initiated trials as well as named patient activities involving our product candidates could cause similar issues. The product-related side effects could affect patient recruitment or the ability of enrolled patients to complete the trial or result in potential product liability claims. Any of these occurrences may harm our business, results of operations and financial condition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product candidates are associated with undesirable side effects or have unexpected characteristics in preclinical studies, clinical trials, investigator-initiated trials or named patient activities,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results of operations and financial condition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in our ongoing and planned clinical trials may in the future suffer significant adverse events or other side effects not observed in our preclinical studies or previous clinical trials. In addition, if our product candidates are used in combination with other therapies, our product candidates may exacerbate adverse events associated with the therapy. Patients treated with our product candidates may also be undergoing surgical, radiation or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significant adverse events or other side effects are observed in any of our current or future clinical trials, in any investigator-initiated trials conducted with our product candidates, or in our named patient activities, we may have difficulty recruiting patients to the clinical trials, patients may drop out of our trials, or we may be required to abandon the trials or our development efforts of that product candidate altogether. We, the FDA, other comparable foreign regulatory authorities or an IRB or ethics committee may suspend clinical trials of a product candidate at any time for various reasons, including a belief that subjects in such trials are being exposed to unacceptable health risks or adverse side effects. Some potential therapeutics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any of our product candidates receives regulatory approval, and we or others later identify undesirable side effects caused by such product, a number of potentially significant negative consequences could result. Such delayed side effects might be observed during the long-term follow-up FDA has insisted upon for certain gene therapy products. For example, in 2024, the FDA initiated class safety labeling changes for BCMA- or CD19-directed genetically modified autologous CAR T cell immunotherapies after it concluded that changes to the boxed warning were warranted to highlight the serious risk of T cell malignancies. In addition to labeling changes, if we were to identify delayed side effects with any of our product candidates, the FDA could require us to adopt a REMS to ensure that the benefits of treatment with such product candidate outweigh the risks for each potential patient, which may include, among other things, a communication plan to healthcare practitioners, patient education, extensive patient monitoring or distribution systems and processes that are highly controlled, restrictive and more costly than what is typical for the industry. Other potentially significant negative consequences include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suspend marketing of that product, or decide to remove the product from the marketplace,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or change their approvals of that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the product for patients, or to conduct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the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 or be sued and held liable for harm caused to subjects or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 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product candidate manufacturing, formulation or analytical methods may result in additional costs or delay, which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are developed through preclinical studies to later-stage clinical trials towards approval and future commercialization, it is common that various aspects of the development program, such as manufacturing methods, formulation or analytical methods, are altered throughout the development process in an effort to optimize processes and results. Any of these changes could cause our product candidates to perform differently and affect the results of planned clinical trials or other future clinical trials conducted with the altered materials or utilizing different analytical methods. Such changes also may require additional testing, or notification to, or authorization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and/or jeopardize our ability to commence product sales and generate revenue. If we or our CMOs are not able to successfully manufacture our product candidates in sufficient quality and quantity, clinical development and timelines for our product candidates and subsequent approval could be adversely impacted.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variety of risks associated with conducting research and clinical trials abroad and marketing our product candidates internationally could materially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globally develop our product candidates. In addition, our enrollment timelines for our product candidates depend on initiating clinical trial sites outside of the United States. Accordingly, we expect that we will be subject to additional risks related to operating in foreign countries,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standards and privacy requirements for the conduct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difficulties in managing the logistics and transportation of storing and shipping product candidates produced in the United States and shipping the product candidate to the patient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 and export requirements and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payor reimbursement regimes, governmental payors or patient self-pay systems, and price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Foreign Corrupt Practices Act of 1977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with obtaining any local supply of drugs or agents used with our product candidates, which are required by certain local clinical trial sites before conducting any study;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health epidemics or pandemics, or natural or man-made disasters, including earthquakes, tsunamis, fires or other medical epidemics, or geo-political actions, including war and terrorism.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political, trade, or regulatory developments in the jurisdictions in which we may sell our products, if approved, such as those stemming from the change in U.S. federal administration, are difficult to predict and may have a material adverse effect on us. Similarly, changes in U.S. federal policies that affect the geopolitical landscape could give rise to circumstances outside our control that could have negative impacts on our business operations. The U.S. has imposed tariffs on a significant number of imports to the U.S. and significantly higher so-called reciprocal tariffs applicable to imports from many countries. The current U.S. administration has threatened to continue to broadly impose tariffs, which could lead to corresponding punitive actions by the countries with which the U.S. trades. Historically, tariffs have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global development and collaboration with other pharmaceutical and biotechnology companies, may materially adversely affect our ability to attain or maintain profitable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manufacturing process for any products that we may develop is subject to the FDA or comparable foreign authority approval process, and we currently, and will need to continue to, contract with manufacturers who can meet our and all applicable FDA or comparable foreign authority requirements on an ongoing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manufacturing process for any products that we may develop is subject to the FDA or comparable foreign authority approval process, and any contractors with which we contract for manufacturing must meet all applicable FDA or comparable foreign authority requirements on an ongoing basis. If we or our CMOs are unable to reliably produce products to specifications acceptable to the FDA or comparable foreign authority, we may not obtain or maintain the approvals we need to commercialize such products. Even if we obtain regulatory approval for any of our product candidates, there is no assurance that either we or our CMOs will be able to manufacture the approved product in accordance with requirements from the FDA or comparable foreign authority,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result in sanctions being imposed on us, including clinical holds, fines, injunctions, civil penalties, delays, suspension or withdrawal of approvals, license revocation, suspension of production or recalls of the product candidates or marketed biologics, operating restriction and criminal prosecutions, delay approval of our product candidates, impair commercialization efforts, increase our cost of goods, and have an adverse effect on our business, financial condition, results of operations and growth prospects. Our future success depends on our ability to manufacture our products on a timely basis with acceptable manufacturing costs, while at the same time maintaining good quality and complying with applicable regulatory requirements. An inability to do so could have a material adverse effect on our business, financial condition and results of operations. In addition, we could incur higher manufacturing costs if manufacturing processes or standards change, and we could need to replace, modify, design or build and install equipment, all of which would require additional capital expenditures. Specifically, because our product candidates may have a higher cost of goods than conventional therapies, the risk that coverage and reimbursement rates may be inadequate for us to achieve profitability may be greater.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 party CMOs to manufacture and supply cell therapy products for our research and development purposes and for our clinical trials. Under our July 2023 Development and Manufacturing Services Agreement, or the Prior Elevate Agreement, with ElevateBio BaseCamp, Inc., or Elevate, we engaged Elevate in November 2024 to provide us with cell manufacturing, release and testing services for our miv-cel product candidate. In July 2026, we entered into a Clinical and Commercial Supply Agreement, or the Elevate CCSA, which replaced the Prior Elevate Agreement. Under the Elevate CCSA, Elevate agreed to provide us with development and manufacturing services for the clinical and commercial supply of miv-cel.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our Master Services Agreement with Minaris Advanced Therapies Inc., or MAT, dated March 2022, or the MAT Agreement, MAT provides us with cell manufacturing, release and testing services for our miv-cel product candidate. Pursuant to our License and Supply Agreement with Oxford Biomedica (UK) Limited, or Oxford, dated September 2023, or the Oxford Agreement, we engaged Oxford to undertake lentiviral vector process development services, with the intention for Oxford to ultimately manufacture and supply to us lentiviral vectors for research and development purposes and for use in connection with our clinical trials. Although we believe we currently have sufficient clinical-grade vector in inventory to move forward with our anticipated clinical trials, there is no guarantee that sufficient clinical-grade vector will be available in the quantities we require in the future or on terms that are acceptable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third-party manufacturers entails exposure to risks to which we would not be subject if we manufactured the product candidate ourselves,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negotiate manufacturing and quality agreements with third parties under commercially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day-to-day control over the manufacturing process for our product candidates as a result of using third-party manufacturers for all aspects of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control over the protection of our trade secrets and know-how from misappropriation or inadvertent disclosure;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or nonrenewal of manufacturing agreements with third parties in a manner or at a time that may be costly or damaging to us or result in delays in the development or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the operations of our third-party manufacturers or suppliers caused by conditions unrelated to our business or operations, including the bankruptcy of the manufacturer or supplier;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or multi-national activities that are related to business activities outside of our scope, but may have an impact on a CMO’s ability to conduct business in a manner consistent with governmental or our regulatory and ethical standards;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synchronize operations and standards to ensure that all aspects of manufacturing are consistent without deviations across facilities.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current Good Manufacturing Practice, or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we are unable to manufacture or contract for a sufficient supply of our product candidates on acceptable terms, or if we encounter delays or difficulties in the scale-up of our manufacturing processes or our relationships with MAT, Elevate, Oxford or other manufacturers, our preclinical and human clinical testing schedule would be delayed. This in turn would delay the submission of product candidates for regulatory approval and thereby delay the market introduction and subsequent sales of any products that receive regulatory approval, which would have a material adverse effect on our business, financial condition and results of operations. In addition, if any of our product candidates are approved for sale, our inability to manufacture or contract for a sufficient supply of such potential future products on acceptable terms would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intellectual property licensed from third parties and termination of any of these licenses could result in the loss of significant rights, which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patents, know-how and proprietary technology, both our own and licensed from others. For example, we have two patent license agreements, or the NIH Agreements, with the National Institutes of Health, or the NIH, pursuant to which we obtained exclusive, worldwide licenses to certain patents to use an anti-CD19 CAR in our autologous and allogeneic CAR T-cell products for the treatment of patients with autoimmune disease, which is the CAR we used to create our lead product candidate, miv-cel. Any termination of these licenses could result in the loss of significant rights and could harm our ability to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Disputes also may arise between us and our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future commercialization of our product candidates, and what activities satisfy those diligence obligations;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and rights to use inventions and know-how resulting from the joint or individual creation or use of intellectual property by our licensors and us and our partners.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certain of our current and future agreements with third parties may limit or delay our ability to consummate certain transactions, may impact the value of those transactions, or may limit our ability to pursue certain activities. For example, we may enter into license agreements that are not assignable or transferable, or that require the licensor’s express consent in order for an assignment or transfer to take place. If disputes over intellectual property that we have licensed prevent or impair our ability to maintain our current licensing arrangements on acceptable terms, we may be unable to successfully develop and commercialize the affected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generally also are subject to all of the same risks with respect to protection of intellectual property that we license, as we are for intellectual property that we own, which are described in this “Risk Factors” section. If we or our licensors fail to adequately protect this intellectual property, our business, results of operations and financial condition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upon a combination of in-licensed patents, know-how and confidentiality agreements to protect the intellectual property related to our product candidates and technologies and to prevent third parties from copying and surpassing our achievements, thus eroding our competitive position in our market. For example, pursuant to the NIH Agreements, we obtained exclusive, worldwide licenses to certain patents to use an anti-CD19 CAR in our autologous and allogeneic CAR T-cell products for the treatment of patients with autoimmune disease, which is the CAR we used to create our lead product candidate, miv-cel.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novel discoveries and technologies that are important to our business. We cannot assure you that our existing patents and any future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and enforcing patents is expensive and time-consuming,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technologies or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dependent on our outside counsel or our licensors to take necessary action to comply with patent protection requirements with respect to our owned or in-licensed intellectual property. The United States Patent and Trademark Office, or the USPTO, and various non-U.S. government patent agencies require compliance with several procedural, documentary, fee payment and other similar provisions during the patent application process. Non-compliant events could result in abandonment or lapse of a patent or patent application.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relevant jurisdiction. In such an event, potential competitors might be able to enter the market and this circumstance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Composition of matter patents for biological and pharmaceutical product candidates often provide a strong form of intellectual property protection for those types of products, as such patents provide protection without regard to any method of use. However, we cannot be certain that the claims in our or our collaborators’ or licensors’ pending patent applications directed to composition of matter of our product candidates will be considered patentable by the USPTO, or by patent offices in foreign countries, or that the claims in any of our or our licensors’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and in-licensed patent applications may not result in patents being issued that protect our technologies or product candidates, effectively prevent others from commercializing our technologies or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will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or our licensors’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or our licensors’ patent rights are highly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or our licensors’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or our licensors’ pending patent applications may be subject to third-party pre-issuance submissions of prior art to the USPTO or our issued patents may be subject to post-grant review, or PGR, proceedings, oppositions, derivations, reexaminations, interferences, inter partes review, or IPR, proceedings or other similar proceedings, in the United States or elsewhere. Certain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third party may also claim that our owned or licensed patent rights are invalid or unenforceable in a litigation. The outcome following legal assertions of invalidity and unenforceability is unpredictable. An adverse result in any legal proceeding could put one or more of our owned or in-licensed patents at risk of being invalidated or interpreted narrowly and could allow third parties to commercialize our products and compete directly with us, without payment to us, or result in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inability to manufacture or commercialize our technology, products or product candidates without infringing third-party patent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cannot ensure that patent rights relating to inventions described and claimed in our pending patent applications will issue, or that our issued patents or patents that issue in the future will not be challenged and rendered invalid and/or unenforceable.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potential future licensors will be successful in protecting our product candidates by obtaining and defending patents. We have pending and issued U.S. and foreign patents and patent applications in our portfolio; however, we cannot predict: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when patents may issue based on our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of any patent issuing based on our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claims of any issued patent will provide protection against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or not third parties will find ways to invalidate or circumvent our patent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or not others will obtain patents claiming aspects similar to those covered by our patents and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will need to initiate litigation or administrative proceedings to enforce and/or defend our patent rights which will be costly whether we win or lose; and/or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patent applications will result in issued patents with claims that cover each of our product candidates or uses thereof in the United States or in other foreign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challenge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 Furthermore, if the breadth or strength of protection provided by our patents and patent applications is threatened, regardless of the outcome, it could dissuade companies from collaborating with us to license, develop or commercialize current or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rely on more than one patent to provide multiple layers of patent protection for our product candidates. If the latest-expiring patent is invalidated or held unenforceable, in whole or in part, the overall protection for the product candidate may be adversely affected. For example, if the latest-expiring patent is invalidated, the overall patent term for our product candidate could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pending and future patent applications may not result in patents being issued that protect our product candidates, in whole or in part, or which effectively prevent others from commercializing competitive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Assuming the other requirements for patentability are met, currently, the first to file a patent application is generally entitled to the patent. Because patent applications in the United States and most other countries are confidential for a period of time after filing, and some remain so until issued, we cannot be certain that we were the first to file any patent application related to our product candidates. Further, with respect to particular compositions of interest known to the public, third parties may be able to obtain patents on improvements or other inventions relating to such compositions if they were to discover the same patentable inventions relating to such compositions after us but manage to file a patent application before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In addition, we may enter into non-disclosure and confidentiality agreements with parties who have access to confidential or patentable aspects of our research and development output, such as our employees, collaborators, consultants, advisors and other third parties; however, any of these parties may breach the agreements and disclose such output before a patent application is filed, thereby jeopardizing our ability to obtain patent protection.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Our competitors and other third parties may also seek approval to market their own products similar to or otherwise competitive with our products. Alternatively, our competitors or other third parties may seek to market generic or biosimilar versions of any approved products and in so doing,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may find that our competitors are competing in a non-infringing manner. Thus, even if we have valid and enforceable patents, these patents still may not provide protection against competing products or processes sufficient to achieve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some of our patents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our obligations under our patent licenses with third parties, we could lose license rights that are important to our business, which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license agreements pursuant to which we in-license patent and patent applications, know-how, trade secrets and data rights for our product candidates. These include, for example, the NIH Agreements, pursuant to which we obtained exclusive, worldwide licenses to certain patents to use an anti-CD19 CAR in our autologous and allogeneic CAR T-cell products for the treatment of patients with autoimmune disease, and the Intellia Agreement, which provides for the research and development of the CRISPR Product Candidate. These existing licenses impose on us various diligence, milestone payment, royalty, insurance and other obligations. If we fail to comply with these obligations, our licensors may have the right to terminate the license, in which event we would not be able to develop or market the products covered by such licensed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have limited control over the maintenance and prosecution of these in-licensed patents and patent applications, activities or any other intellectual property that may be related to our in-licensed intellectual property. For example, such activities by these licensors may not have been or may not be conducted in compliance with applicable laws and regulations or may not result in valid and enforceable patents and other intellectual property rights. Our licensors may not successfully prosecute the patent applications that are licensed to us in a manner consistent with the best interests of our business. We may need the cooperation of our licensors in order to enforce any licensed patents against third parties, and such cooperation may not be provided to us. In addition,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cannot prevent other companies from licensing some of the same intellectual property that we have licensed or from otherwise duplicating our business model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parties we have licenses with are developing therapies using similar technologies, they may make their methods and data available to third parties, who may want to enter into our line of business and compete against us. Although we currently exclusively license certain intellectual property for each of our product candidates, there can be no assurance we will not need to license other intellectual property on a non-exclusive basis in the future or that our exclusively licensed intellectual property could be used to prevent third parties from duplicating our business plan or from otherwise directly competing against us. Further, no assurance can be given that our existing exclusive rights are or will be sufficient to prevent others from competing with us and developing substantially similar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develop current and any future product candidates on acceptable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our programs may involve additional product candidates that may require the use of proprietary rights held by third parties, the growth of our business may depend in part on our ability to acquire, in-license or use these proprietary rights.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expenses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240" w:after="283"/>
        <w:jc w:val="left"/>
        <w:rPr>
          <w:rFonts w:ascii="Times New Roman" w:hAnsi="Times New Roman"/>
          <w:sz w:val="20"/>
        </w:rPr>
      </w:pPr>
      <w:r>
        <w:rPr>
          <w:rFonts w:ascii="Times New Roman" w:hAnsi="Times New Roman"/>
          <w:color w:val="000000"/>
          <w:sz w:val="20"/>
        </w:rPr>
        <w:t>Additionally, we sometimes collaborate with academic institutions and governmental authorities to accelerate our</w:t>
      </w:r>
      <w:r>
        <w:rPr>
          <w:rFonts w:ascii="Times New Roman" w:hAnsi="Times New Roman"/>
          <w:strike/>
          <w:color w:val="000000"/>
          <w:sz w:val="20"/>
        </w:rPr>
        <w:t xml:space="preserve"> </w:t>
      </w:r>
      <w:r>
        <w:rPr>
          <w:rFonts w:ascii="Times New Roman" w:hAnsi="Times New Roman"/>
          <w:color w:val="000000"/>
          <w:sz w:val="20"/>
        </w:rPr>
        <w:t>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including our competitors. If such intellectual property is solely owned by the institution, we may have to abandon development of such program, and our business, results of operations and financial condition could be adversely affected. If such intellectual property is jointly owned by us and the institution, our loss of exclusivity may permit others to market competing products and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licensing and acquisition of third-party intellectual property rights is a highly competitive area, and companies, which may be more established or have greater resources than we do, also may be pursuing strategies to license or acquire third-party intellectual property rights that we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licensed from various third parties may be subject to retained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licensors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 In particular, under the NIH Agreements, the NIH reserves, on behalf of the United States federal government and certain third parties, an irrevocable, nonexclusive, worldwide, royalty-free license to practice all of the inventions licensed under such agreements, and the NIH also reserves the right to grant third parties research licenses on reasonable terms. Under the Intellia Agreement, Intellia is granted an irrevocable, nonexclusive, worldwide, royalty-free license to fully exploit certain Intellia-developed products that are not directed to CD19 or other B-cell antigens and which are not intended for treatment or prevention of autoimmune or inflammatory diseases or conditions and not for humoral rejection for solid organ transplantation.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at times choose to collaborate with academic institutions to accelerate our research or development. If the co-developed intellectual property is subject to the Patent and Trademark Law Amendments Act, or the Bayh-Dole Act, the United States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 candidates. We may infringe the intellectual property rights of others, which may prevent or delay our drug development efforts and prevent us from commercializing or increase the costs of commercializing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Numerous U.S. and foreign patents and pending patent applications exist in our market that are owned by third parties. Our competitors in both the United States and abroad, some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success depends significantly on our ability to operate without infringing the patents and other intellectual property rights of third parties. We are aware of third-party U.S. and European patents related to CAR T cells for use in treating autoimmune diseases, which may be relevant to our product candidates. If these patent rights were enforced against us, we believe that we have defenses against any such action, including that these patents are not valid. There could be additional issued patents of which we are not aware that our current or potential future product candidates infringe. There also could be patents that we believe we do not infringe, but that we may ultimately be found to infringe.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Third-party patents can be challenged in administrative proceedings, such as </w:t>
      </w:r>
      <w:r>
        <w:rPr>
          <w:rFonts w:ascii="Times New Roman" w:hAnsi="Times New Roman"/>
          <w:i/>
          <w:color w:val="000000"/>
          <w:sz w:val="20"/>
        </w:rPr>
        <w:t>inter partes</w:t>
      </w:r>
      <w:r>
        <w:rPr>
          <w:rFonts w:ascii="Times New Roman" w:hAnsi="Times New Roman"/>
          <w:color w:val="000000"/>
          <w:sz w:val="20"/>
        </w:rPr>
        <w:t xml:space="preserve"> review, </w:t>
      </w:r>
      <w:r>
        <w:rPr>
          <w:rFonts w:ascii="Times New Roman" w:hAnsi="Times New Roman"/>
          <w:i/>
          <w:color w:val="000000"/>
          <w:sz w:val="20"/>
        </w:rPr>
        <w:t>ex parte</w:t>
      </w:r>
      <w:r>
        <w:rPr>
          <w:rFonts w:ascii="Times New Roman" w:hAnsi="Times New Roman"/>
          <w:color w:val="000000"/>
          <w:sz w:val="20"/>
        </w:rPr>
        <w:t xml:space="preserve"> re-exam or post-grant review proceedings at the USPTO or patent opposition proceedings at the European Patent Office, but the outcome of such proceedings is highly uncertain. An adverse determination in any such proceeding may result in our inability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manufacture or commercialize products without infringing third-party patent rights. The costs of these opposition or similar proceedings could be substantial, and may result in a loss of scope of some claims or a loss of the entire patent. Even if we ultimately prevail in any such claims or proceedings, the monetary cost of such litigation and the diversion of the attention of our management and scientific personnel could outweigh any benefit we receive as a result of the claims or proceedings. In addition, competitors may file continuing patent applications claiming priority to already issued patents in the form of continuation, divisional or continuation-in-part applications, in order to maintain the pendency of a patent family and attempt to cover our product candidates by new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and may sue us for patent or other intellectual property infringement. These lawsuits are costly and could adversely affect our business, financial condition and results of operations and divert the attention of managerial and scientific personnel. If we are sued for patent infringement, we would need to demonstrate that our product candidates, potential products or methods either do not infringe the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 If a court holds that any third-party patents are valid, enforceable and cover our products or their use, the holders of any of these patents may be able to block our ability to commercialize our products unless we acquire or obtain a license under the applicable patents or delay commercialization of our products in the corresponding jurisdiction until the patents expire.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provide any assurances that no valid third-party patents and other intellectual property rights can be enforced against our current technology, including our research programs, product candidates, their respective methods of use, manufacture and formulations thereof. If we are sued for infringing intellectual property rights of third parties, such litigation could result in either an injunction prohibiting our manufacture or future sales, or, with respect to our future sales, an obligation on our part to pay royalties and/or other forms of compensation to third parties, which could be significant.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and adversely affect our business, financial condition and results of operations. Any claims by third parties that we have misappropriated their confidential information or trade secrets could have a similar material and adverse effect on our business, financial condition and results of operations. In addition, any uncertainties resulting from the initiation and continuation of any litigation could have a material adverse effect on our ability to raise the funds necessary to continue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other intellectual property, which could be expensive, time-consuming and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or other third parties may infringe our patents, trademarks or other intellectual property. To counter infringement or unauthorized use, we or one of our licensing partners may be required to file infringement claims, which can be expensive and time-consuming and divert the time and attention of our management and scientific personnel. Our or our licensors’ pending patent applications cannot be enforced against third parties practicing the technology claimed in such applications unless and until a patent is issued from such applications. Any claims we assert against perceived infringers could provoke these parties to assert counterclaims against us alleging that we infringe their patents, in addition to counterclaims asserting that our patents or our licensors’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our licensors is invalid or unenforceable, in whole or in part, and that we do not have the right to stop the other party from using the invention at issue. There is also a risk that, even if the validity of such patents is upheld,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court will construe the patent’s claims narrowly or decide that we do not have the right to stop the other party from using the invention at issue on the grounds that our or our licensors’ patent claims do not cover the invention, or decide that the other party’s use of our or our licensors’ patented technology falls under the safe harbor to patent infringement under 35 U.S.C. §271(e)(1). In addition, the U.S. Supreme Court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also could make it more difficult to obtain or defend patents. An adverse outcome in a litigation or proceeding involving our or our licensors’ patents could limit our ability to assert our or our licensors’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another party questions the patentability of any of our claims in our owned or in-licensed U.S. patents, the third 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at the European Patent Office or similar proceedings in other foreign patent offices, where either our owned or in-licensed foreign patents are challenged.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or our licensors’ patents and other intellectual property or claims asserting that our employees, consultants or advisors have wrongfully used or disclosed alleged trade secrets of their current or former employers.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or our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or the effects of foreign laws where foreign nationals are involved in the development of the subject matter of the patent. Furthermore, ownership disputes may arise from alleged contributions of third parties involved in developing our product candidates, or their methods of use or manufacture, and may result in joint ownership of our inventions in the absence of agreements with such third parties assigning ownership rights to us.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adversely affect our business. Even if we are successful in defending against such claims, litigation could result in substantial costs and be a distraction to management and other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our employees, consultants or advisors have in the past and may in the future be employed at universities or other biotechnology or pharmaceutical companies, including our competitors or potential competitors, and we may in the future be subject to claims that our former employees, consultants, or other third parties have an interest in our patents or other intellectual property as an inventor, co-inventor, or owner of trade secrets. Although it is our policy to require our employees and consultants who may be involved in the conception or development of intellectual property to execute agreements assigning that intellectual property to us, we may be unsuccessful in executing such an agreement with each party who conceives or develops intellectual property that we regard as our own or such party may breach the assignment agreement, or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Even if we are successful in defending against such claims, litigation could result in substantial costs and be a distraction to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with respect to products or product candidates for an adequate amount of time. If we do not obtain patent term extension for our product candidates,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owned and licensed patent portfolio may not provide us with sufficient and continuing rights to exclude others from commercializing products similar or identical to ours.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upon the timing, duration and specifics of any FDA marketing approval of any of our product candidates, one or more of our or our licensors’ issued U.S. patents or issued U.S. patents that we may own in the future may be eligible for limited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a Supplemental Protection Certificate.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patent law in the United States and other jurisdictions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or the Leahy-Smith Act, signed into law on September 16, 2011, could increase those uncertainties and costs surrounding the prosecution of our patent applications and the enforcement or defense of our future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or our licensors’ ability to obtain new patents and patents that we or our licensors might obtain in the future. 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in June 2023, a new unitary patent system was introduced, which significantly impacts European patents, including those granted before the introduction of the system. Under the unitary patent system, after a European patent is granted, the patent proprietor can request unitary effect, thereby getting a European patent with unitary effect, or a Unitary Patent. Each Unitary Patent is subject to the jurisdiction of the Unified Patent Court, or UPC. As the UPC is a relatively new court system, there is little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that are signatories to the UPC. We cannot predict with certainty the long-term effects of the unitary patent system.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disclosed or that competitors will not otherwise gain access to our trade secrets. If our trade secrets are not adequately protected, our business, financial condition, results of operations and prospects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registered or unregistered trademarks or trade names may be challenged, infringed, circumvented or declared merely descriptive, generic or determined to be infringing on other marks. The use of our registered and unregistered marks is also limited by certain agreements with third parties.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In the USPTO, cancellation proceedings may be filed against our trademarks, once registered, which may not survive such proceedings. In foreign jurisdictions,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In many countries, owning and maintaining a trademark registration may not provide an adequate defense against a subsequent infringement claim asserted by the owner of a senior trademark.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social media handles or other intellectual property may be ineffective and could result in substantial costs and diversion of resources and could adversely affect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limited foreign intellectual property rights and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have a different scope and strength than those in the United States. Moreover, obtaining such protection in a timely manner, or at all, may be affected by factors or events beyond our control, such as a prolonged economic downturn, or global financial or political crises.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patents or patent applications in foreign jurisdictions could result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substantial cost of defending our patent rights, put our patent applications at risk of not issuing and divert our efforts and attention from other aspects of our business. Proceedings to enforce our patent and other intellectual property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In addition, certain countries outside of the United States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authorities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future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this may not be the case and we may not eliminate the risk of accidental contamination or injury from these materials. In such an event, we may be held liable for any resulting damages and such liability could exceed our resources and state,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or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Although we have environmental liability insurance for our California facility as required by the related lease agreement, we do not currently carry specific biological waste or hazardous waste insurance coverage, and our workers' compensation, property and casualty and general liability insurance policies do not include coverage for criminal damages and fines arising from biological or hazardous waste exposure or contamination.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conducted, are currently conducting, and may in the future conduct clinical trials for our product candidates outside the United States, and the FDA and comparable foreign regulatory authorities may not accept data from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conducted, are currently conducting, and may in the future conduct one or more clinical trials of our current or future product candidates outside of the United States.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 must be met. Many foreign regulatory authorities have similar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receive marketing approval for our current or future product candidates in the United States, we may never receive regulatory approval to market outside of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seek regulatory approval of our current or future product candidates outside of the United States and are currently conducting certain clinical trials internationally, including in Europe.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foreign regulatory approvals and compliance with foreign regulatory requirements could result in significant delays, difficulties and costs for us and could delay or prevent the introduction of any of our product candidates in certain countries. Regulatory and marketing approval in one country does not ensure regulatory and marketing approval in another, but a failure or delay in obtaining regulatory and marketing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regulatory approval processes of the FDA and comparable foreign authorities are lengthy, time-consuming and inherently unpredictable, and if we are ultimately unable to obtain regulatory approval for our product candidates, our business will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product candidates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studies, clinical trials, and an extensive regulatory approval process are required to be completed successfully in the United States and in many foreign jurisdictions before a new product can be marketed. Satisfaction of these and other regulatory requirements is costly, time-consuming, uncertain and subject to unanticipated delays. It is possible that none of our product candidates will obtain the regulatory approvals necessary for us to begin selling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time required to obtain approval by the FDA and comparable foreign authorities is unpredictable but typically takes many years following the commencement of clinical trials and depends upon numerous factors, including the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any product candidates we may seek to develop in the future will never obtain regulatory approval. Neither we nor any future collaborator is permitted to market any of our product candidates in the United States until we receive regulatory approval of our product candidates through an NDA or BLA from the FDA. The FDA and other regulatory authorities may delay, limit or deny approval of our product candidates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demonstrate to the satisfaction of the FDA or other regulatory authorities that any of our product candidates are safe and effective for any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meet the level of statistical significance or clinical significance required by the FDA or other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may disagree with the number, design, size, conduct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may not find the data from preclinical studies and clinical trials sufficient to demonstrate that the benefits of any of our product candidates outweigh their safety risks;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may disagree with our interpretation of data from preclinical studies or clinical trials, or may not accept data generated at our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preclinical studies and clinical trials of any of our product candidates may not be sufficient to support the submission of an IND or other application for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require development of a REMS and other regulatory authorities may require a risk management plan, or RMP, as a condition of approval for new products, among other additional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may identify deficiencies in the manufacturing processes or facilities of third-party manufacturers with which we enter into agreements for clinical and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may change their approval policies or adopt new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may require simultaneous approval for both adults and for children and adolescents, which may delay approval, or we may have successful clinical trial results for adults but not children and adolescents, or vice versa.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any of these regulatory authorities may change requirements for the approval of a product candidate even after reviewing and providing comments or advice on a protocol for a clinical trial. The FDA or other regulatory authorities may require that we conduct additional clinical, preclinical,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other regulatory authorities for obtaining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FDA or other regulatory authorities may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such as the implementation of a REMS or comparable foreign risk management approaches. The FDA or other regulatory authorities may not accept the labeling claims that we believe would be necessary or desirable for the successful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FDA and its foreign counterparts may respond to any BLA or NDA that we may submit by defining requirements that we do not anticipate. Such responses could delay clinical development of any of our product candidates or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28, 2023, the FDA issued a statement that it was investigating a serious risk of T-cell malignancy following BCMA-directed or CD19-directed autologous chimeric antigen receptor, or CAR, T cell immunotherapies . While the FDA noted that it believed that the overall benefits of these products continue to outweigh their potential risks for their approved uses, the FDA stated that it was investigating the identified risk of T-cell malignancy with serious outcomes, including hospitalization and death, and was evaluating the need for regulatory action. In January 2024, the FDA notified the manufacturers of the six FDA-approved BCMA-directed and CD19-directed CAR genetically modified autologous T-cell therapies that their products’ safety information must be updated to include a boxed warning that T-cell malignancies have occurred following treatment with BCMA-directed and CD19-directed genetically modified autologous T-cell immunotherapies. In April 2024, the FDA issued a public safety statement announcing its initiation of the class labeling changes and noting that patients and clinical trial participants receiving treatment with these products should be monitored life-long for secondary malignancies. Because all currently approved CAR T-cell immunotherapies are in oncology indications, there can be no assurance that the FDA will reach the same risk-benefit analysis in other indications, such as autoimmune diseases. Given that the autoimmune diseases we are seeking to treat are different indications from the approved oncology indications, the FDA and other regulatory authorities may apply a different benefit-risk assessment threshold such that even if our product candidate demonstrated a similar safety profile as current CAR T-cell therapies, the FDA could ultimately determine that the harmful side effects outweigh the benefits and require us to cease clinical trials or deny approval of our product candidates.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require us to include a boxed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warning on any of our product candidates that receive regulatory approval or impose additional post-approval requirements on any of our product candidates that receive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delay or failure in obtaining required approvals could adversely affect our ability to generate revenue from the particular product candidate for which we are seeking approval. Furthermore, any regulatory approval to market a product may be subject to limitations on the approved uses for which we may market the product or on the labeling or other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commercialize any product candidates, alone or with our partners, such product may become subject to unfavorable pricing regulations, third-party reimbursement practices or healthcare reform initiatives, which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Coverage and reimbursement may be limited or unavailable in certain market segments for our product candidates, if approved, which could make it difficult for us to sell any product candidates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product candidates, if approved, depends on the availability of coverage and adequate reimbursement from third-party payors. We cannot be certain that coverage and reimbursement will be available for, or accurately estimate the potential revenue from, our product candidates or assure that coverage and reimbursement will continue to be available for any product that we may develop that receives coverage and adequate reimbursement from one or more third-party payors. Patients who are provided medical treatment for their conditions generally rely on third-party payors to reimburse all or part of the costs associated with their treatment. Accordingly, coverage and adequate reimbursement from governmental healthcare programs, such as Medicare and Medicaid, and commercial payors is critical to new product acceptance.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Government authorities and third-party payors, such as private health insurers and health maintenance organizations, decide which drugs and treatments they will cover and the amount of reimbursement. These groups have attempted to control costs by limiting coverage and the amount of reimbursement for particular medications. Coverage and reimbursement by a third-party payor may depend upon a number of factors, including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Patients are unlikely to use our product candidates unless coverage is provided and reimbursement is adequate to cover a significant portion of the cost of our product candidates. There is significant uncertainty related to third-party payor coverage and reimbursement of newly approved products. It is difficult to predict at this time what third-party payors will decide with respect to the coverage and reimbursement for our product candidates.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U.S. presidential executive orders, U.S. congressional inquiries and proposed and enacted federal and state legislation designed to, among other things, bring more transparency to drug pricing, reform government program reimbursement methodologies for pharmaceutical products, reduce the cost of prescription drugs under Medicare, review the relationship between pricing and manufacturer patient programs, and reform government program reimbursement methodologies for drugs. In addition, the IRA, among other things, (i) directs the U.S. Department of Health and Human Services, or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took effect progressively starting in fiscal year 2023. On August 15, 2024, HHS announced the agreed-upon reimbursement prices of the first ten drugs that were subject to price negotiations, although the Medicare drug price negotiation program is currently subject to legal challenges. On January 17, 2025, HHS announced its selection of 15 additional drugs covered by Part D for the second cycle of negotiations, the prices of which will be effective starting January 1, 2027. Each year thereafter, more Part B and Part D products will become subject to the Medicare Drug Price Negotiation Program.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whether that will continue under the new framework. It is unclear whether or how much such rights may be exercised.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Several pharmaceutical companies, as well as the U.S. Chamber of Commerce, and the Pharmaceutical Research and Manufacturers of America have filed lawsuits against HHS and the Centers for Medicare &amp; Medicaid Services, or CMS, asserting that, among other things, the IRA’s drug price negotiation program for Medicare constitutes an uncompensated taking in violation of the Fifth Amendment of the U.S. Constitution and is otherwise unlawful. HHS has generally won the substantive disputes in these cases. Certain of these cases continue to be appealed.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current U.S. administration has indicated that it is pursuing policies to reduce regulations and expenditures across government, including at HHS, the FDA, CMS and related agencies. These actions, frequently directed by executive orders or memoranda from the Office of Management and Budget, may propose policy changes that create additional uncertainty for our business. These actions and proposals may, for example, include directives: (1) reducing agency workforce and cutting programs; (2) rescinding a Biden administration executive order tasking the Center for Medicare and Medicaid Innovation, or CMMI, to consider new payment and healthcare models to limit drug spending; (3) eliminating the Biden administration’s executive order that directed HHS to establish an AI task force and develop a strategic plan; (4) directing HHS and other agencies to lower prescription drug costs through a variety of initiatives, including by improving upon the Medicare Drug Price Negotiation Program and establishing Most-Favored-Nation pricing for pharmaceutical products; (5) imposing tariffs on imported pharmaceutical products; and (6) directing certain federal agencies to enforce existing law regarding hospital and plan price transparency and to standardize prices across hospitals and health plans. Congress may introduce and ultimately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pass health care related legislation that could impact the drug approval process and make changes to the Medicare Drug Price Negotiation Program created under the IRA.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In addition, on July 4, 2025, legislation commonly referred to as the One Big Beautiful Bill Act was signed into law, which reduced funding to federal healthcare programs and imposed additional requirements to be eligible for healthcare, which may result in decreased access to healthcare, particularly in Medicaid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experience pricing pressures in connection with the sale of all of our product candidates due to the trend toward managed healthcare, the increasing influence of health maintenance organizations, cost containment initiatives and additional legislative changes. Net prices for drugs may be reduced by mandatory discounts or rebates required by government healthcare programs or third-party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relationships with healthcare providers and physicians and third-party payors may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physicians and third-party payors in the United States and elsewhere play a primary role in the recommendation and prescription of pharmaceutical products. Our current and future arrangements with healthcare providers, third-party payors and customers can expose us to broadly applicable fraud and abuse and other healthcare laws and regulations, which may constrain the business or financial arrangements and relationships through which we research and, if approved, sell, market and distribute our products. In particular, the research of our product candidates, as well as the promotion, sales, marketing and business arrangements of our product candidates, is subject to extensive laws designed to prevent fraud, misconduct, kickbacks, self-dealing and other abusive practices. These laws and regulations may restrict or prohibit a wide range of pricing, discounting, marketing and promotion, sales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serious harm to our reputation. The applicable federal, state and foreign healthcare laws and regulations that may affect our ability to operate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violate it. The federal Anti-Kickback Statute has been interpreted to apply to arrangements between pharmaceutical manufacturers on the one hand and prescribers, purchasers, and formulary managers on the other;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and criminal false claims laws, including the federal False Claims Act, or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healthcare fraud statute under HIPAA without actual knowledge of the statute or specific intent to violate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and its implementing regulations, which require some manufacturers of drugs, devices, biological products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certain non-physician practitioners (such as physician assistants and nurse practitioners), and teaching hospitals, as well as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distribution of pharmaceutical products is subject to additional requirements and regulations, including extensive record keeping, licensing, storage, tracking and tracing and security requirements intended to prevent the unauthorized sale of pharmaceutical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and enforcement of each of these laws is uncertain and subject to rapid change in the current environment of healthcare reform. Federal, state and foreign enforcement bodies have continued to increase their scrutiny of interactions between healthcare companies and healthcare providers, which has led to a number of investigations, prosecutions, convictions, significant fines and penalties and settlements in the healthcare industry. Ensuring that business arrangements comply with applicable healthcare laws, as well as responding to possible investigations by government authorities, can be time- and resource-consuming and may divert our management’s attention from the operation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of or restriction on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attempt to seek approval from the FDA for one or more of our product candidates through the use of the accelerated approval pathway.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seek an accelerated approval for one or more of our product candidates. Under the accelerated approval pathway,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and, under the Food and Drug Omnibus Reform Act of 2022, or FDORA, the FDA is permitted to require, as appropriate, that such studies be underway prior to approval or within a specified time period after the date accelerated approval is granted. The FDA has issued draft guidance that proposes criteria it will use to determine if a trial is underway, including whether enrollment in the trial has been initiated. FDORA also requires sponsors to send updates to the FDA every 180 days on the status of such studies, including progress toward enrollment targets, and the FDA must promptly post this information publicly. In addition, FDORA gives the FDA increased authority to withdraw accelerated approval on an expedited basis if, for example, the sponsor fails to conduct such studies in a timely manner, such studies fail to confirm the drug’s clinical benefit or the sponsor fails to send the necessary updates to the FDA. The FDA is empowered to take action against companies that fail to conduct any post-approval confirmatory study with due diligence or submit timely reports to the agency on their progress. In addition, the FDA generally requires, unless otherwise informed by the agency, pre-approval of promotional materials for products receiving accelerated approval, which could adversely impact the timing of the commercial launch of the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or BLA seeking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candidates would result in a longer time period to commercialization of such product candidate, if any, could increase the cost of development of such product candidate and could harm our competitive position in the marketplace.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pursuing or maintaining Fast Track or other regulatory designations for our product candidates, and such designations may not actually lead to a faster development or regulatory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received Fast Track designation for miv-cel for the treatment of patients with refractory lupus nephritis in May 2023, for miv-cel for the treatment of patients with myasthenia gravis, or MG, in December 2023 and for miv-cel for the treatment of patients with multiple sclerosis in January 2024 and RMAT designation for miv-cel for the treatment of SPS in July 2024 and for the treatment of MG in August 2024, these designations do not assure that we will experience a faster development process, regulatory review or regulatory approval process compared to conventional FDA procedures. In addition, the FDA may withdraw a Fast Track or other accelerated review designation if it believes that the designation is no longer supported by data from our clinical development program. Additionally, qualification for any expedited review procedure does not ensure that we will ultimately obtain regulatory approval for such product candidate. Access to an expedited program may expedite the development or approval process, but it does not change the standards for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although we may pursue additional opportunities to accelerate the development of certain of our product candidates through one or more of the FDA’s expedited program designations, we cannot be assured that any of our product candidates will qualify for such programs. The FDA may determine that our proposed target indication or other aspects of our clinical development plans do not qualify for such expedited program.</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maintain or obtain additional orphan drug designation or orphan drug exclusivity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Europe, may designate drugs for relatively small patient populations as orphan drugs. 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 Orphan drug designation neither shortens the development time or regulatory review time of a product candidate, nor gives the product candidate any advantage in the regulatory review or approval process. We received orphan drug designation from the FDA for miv-cel for the treatment of MG in April 2024, for the treatment of SPS in August 2024, and for the treatment of systemic sclerosis in September 2024, but we may not be granted orphan drug designations for our product candidates in other indications in the U.S. or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orphan drug designation for a product candidate, we may not be able to obtain orphan drug exclusivity for that product candidate. 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or biologic for the same indication for seven years from the date of such approval, except in limited circumstances, such as a showing of clinical superiority to the product with orphan exclusivity on the basis of greater effectiveness or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even if we obtain orphan drug exclusivity for a product, that exclusivity may not effectively protect the product from competition because the FDA has taken the position that, under certain circumstances, another drug with the same active moiety can be approved for the same condition. Specifically, the FDA’s regulations provide that it can approve another drug with the same active moiety for the same condition if the FDA concludes that the later drug is clinically superior in that it is shown to be safer, more effective or makes a major contribution to patient care.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received RMAT designation for miv-cel for the treatment of SPS and for the treatment of MG. This designation may not lead to a faster development or regulatory review or approval process, and will not increase the likelihood that such product candidates will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received RMAT designation for miv-cel for the treatment of SPS in July 2024 and for the treatment of MG in August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company may request RMAT designation of its product candidate, which designation may be granted if the product meets the following criteria: (i) it is a cell therapy, therapeutic tissue engineering product, human cell and tissue product, or any combination product using such therapies or products, with limited exceptions; (ii) it is intended to treat, modify, reverse, or cure a serious or life-threatening disease or condition; and (iii) preliminary clinical evidence indicates that the drug has the potential to address unmet medical needs for such a disease or condition. RMAT designation provides potential benefits that include more frequent meetings with FDA to discuss the development plan for the product candidate, and potential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post-approval, if appropriate. RMAT-designated products that receive accelerated approval may, as appropriate, fulfill their post-approval requirements through the submission of clinical evidence, clinical studies, patient registries, or other sources of real world evidence (such as electronic health records); through the collection of larger confirmatory data sets; or via post-approval monitoring of all patients treated with such therapy prior to approval of the therapy.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RMAT designation does not change the standards for product approval, and there is no assurance that any such designation or eligibility will result in expedited review or approval or that the approved indication will not be narrower than the indication covered by the RMAT designation. Additionally, RMAT designation can be revoked if the criteria for eligibility cease to be met as clinical data emerges.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enacted legislation, future legislation and other healthcare reform measures may increase the difficulty and cost for us to obtain marketing approval for and commercialize our product candidates and may affect the prices we may 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in March 2010, the Patient Protection and Affordable Care Act, as amended by the Health Care and Education Reconciliation Act, or, collectively, the ACA, was enacted in the United States, which substantially changed the way healthcare is financed by both governmental and private insurers in the United States and significantly affected the pharmaceutical industry. The ACA, among other things, subjected biologic products to potential competition by lower-cost biosimilars, addressed a new methodology by which rebates owed by manufacturers under the Medicaid Drug Rebate Program, or MDRP, are calculated for drugs and biologics that are inhaled, infused, instilled, implanted or injected, increased the minimum Medicaid rebates owed by manufacturers under the MDRP, extended manufacturer Medicaid rebate obligations to utilization by individuals enrolled in Medicaid managed care organizations, established annual fees and taxes on manufacturers of certain branded prescription drugs and biologics, and established a new Medicare Part D coverage gap discount program. Since its enactment, there have been judicial, congressional, and executive branch challenges to the ACA, which have resulted in delays in the implementation of, and action taken to repeal or replace, certain aspects of the ACA. On June 17, 2021, the U.S.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former President Biden signed the IRA into law, which, among other things, extended enhanced subsidies for individuals purchasing health insurance coverage in ACA marketplaces through plan year 2025. The IRA also eliminated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or legislative modifications in the future. It is unclear how other such challenges or modifications, and any healthcare reform measures of the current U.S. administration, will impact the ACA and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For example,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2032, unless additional congressional action is taken.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 in certain countries outside the United States, reimbursement for products that have not yet received marketing authorization may be provided through national managed access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on July 4, 2025, the One Big Beautiful Bill Act was signed into law, which is expected to reduce Medicaid spending and enrollment by implementing work requirements for some beneficiaries, capping state-directed payments, reducing federal funding and limiting provider taxes used to fund the program. The One Big Beautiful Bill Act also narrows access to ACA marketplace exchange enrollment and declines to extend the ACA enhanced advanced premium tax credits, set to expire in 2025, which, among other provisions in the law, are anticipated to reduce the number of Americans with health insurance. Moreover, the American Rescue Plan Act of 2021, effective January 1, 2024, eliminated the statutory cap on rebate amounts owed by drug manufacturers under the MDRP, previously capped at 100% of the average manufacturer price for a covered outpatient drug.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the ACA, the IRA, and any other healthcare reform measures that may be adopted or implemented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Changing regulatory environments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EU Member States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is the procedure to assess the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2021, Regulation No. 2021/2282 on HTA, amending Directive 2011/24/EU, was adopted in the European Union. This Regulation, which entered into force in January 2022 and became applicable as of January 2025, is intended to boost cooperation among EU Member States in assessing health technologies, including new medicinal products, and providing the basis for cooperation at European Union level for joint clinical assessments in these areas. The Regulation permits EU Member States to use common HTA tools, methodologies, and procedures across the European Union,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European Union could be negatively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Legislators, policymakers and healthcare insurance funds in the European Union may continue to propose and implement cost-containing measures to keep healthcare costs down.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European Union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the FDA, on which we rely.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may be impacted by actions of the current U.S. administration, including executive orders, policies, new legislation and judicial decisions.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Actions of the current U.S. administration may cause us to change our business operations, with an unknown impact to our stakeholders, including patients, healthcare providers and employees. Failure to comply with new administration actions could expose us to litigation or other government actions. There can be no assurance that our compliance with new administration actions will provide sufficient mitigation.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authorities or government-affiliated hospitals, universities, and other organizations.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expect our non-U.S. activities to increase over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If we further expand our operations outside of the United States, we must dedicate additional resources to comply with numerous laws and regulations in each jurisdiction in which we plan to operate. The Foreign Corrupt Practices Act, or the FCPA, prohibits any U.S. individual or business from paying, offering, authorizing payment or offering of anything of value, directly or indirectly, to any foreign official, political party or candidate and other related parties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research and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at the FDA, the SEC and other government agencies, including government shutdowns, funding changes, or other disruptions to these agencies’ operations, could negatively impact our business, operations, regulatory interactions and access to capital.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disruptions to the operations of government agencies, including from prolonged or repeated shutdown of the federal government, could adversely affect our business, financial condition and results of operations. For example, on October 1, 2025, the U.S. government shut down for 43 days, during which time certain regulatory agencies, such as the FDA and the SEC, furloughed certain employees and stopped critical activities. On October 10, 2025, the U.S. government implemented substantial layoffs and workforce reductions in connection with the federal government shutdown, which resulted in the suspension or delay of various government-funded programs. The ability of the FDA to review and approve new products, to provide feedback on clinical trials and development programs, to meet with sponsors and to otherwise review regulatory submissions can be affected by a variety of factors, including government budget and funding levels, reductions in workforce, ability to hire and retain key personnel and accept the payment of user fees, substantial changes in leadership and shifting policy priorities as a result of changes in the presidential administration and its appointees tasked to oversee the agency, and statutory, regulatory, and policy changes. In the past, average review times at the agency have fluctuated, and this may continue in the future. In addition, government funding of other agencies on which our operations may rely is subject to the political process, which is inherently fluid and unpredictable. In addition, government shutdowns, if prolonged, could significantly impact the ability of government agencies upon which we rely (such as the FDA and SEC) to timely review and process our regulatory submissions, which could have a material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Disruptions at the FDA and other agencies, including as a result of reductions in force, significant organizational changes, substantial leadership departures, and policy changes, may slow the time necessary for new product candidates to be reviewed and/or approved by necessary government agencies, which would adversely affect our business. For example, the current U.S. administration has discussed several changes to the reach and oversight of the FDA, which could affect its relationship with the pharmaceutical industry, transparency in decision making and ultimately the cost and availability of prescription drugs. Additionally, over the past decade, the U.S. government has shut down several times, and certain regulatory agencies, such as the FDA and the SEC, have had to furlough critical employees and stop critical activities. The current U.S. administration has taken steps to reduce the number of federal employees by establishing voluntary termination programs, by position eliminations or by involuntary terminations. If funding for the FDA is reduced, if the FDA workforce is reduced, or if government shutdowns reoccur, any of these factors could significantly impact the ability of the FDA to timely review and process our regulatory submissions, which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a future shutdown of the U.S. federal government could materially impact the operations of the SEC. For example, during the most recent U.S. federal government shutdown, the SEC announced that it would not declare registration statements effective. In the event of a future shutdown, the SEC may operate with limited staff or suspend certain functions altogether, which could delay the review or effectiveness of our filings, including registration statements or other financing-related disclosures. Such delays could adversely affect our ability to access the public markets and obtain necessary capital in order to properly capitalize and continue to fund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future government shutdowns or funding freezes could negatively affect broader business operations and economic conditions and cause delays in or suspension of manufacturing facility and shipping operations, which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adversely affect our clinical trials and supply of product candidates. If these disruptions reoccur or worsen, our business, financial condition, results of operations and ability to execute our strategic plans could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remains substantial uncertainty as to how the current administration will seek to or continue to modify or revise the requirements and policies of the FDA and other regulatory agencies with jurisdiction over our product candidates. State governments may also attempt to address or react to changes at the federal level with changes to their own regulatory frameworks in a manner that is adverse to our operations. This uncertainty could present new challenges or potential opportunities as we navigate the clinical development and approval process for our product candidates. If we or our collaborators experience delays in obtaining approval or if we or they fail to obtain approval of our product candidates, the commercial prospects for our product candidates may be harmed and our ability to generate revenue will be materially impaired.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Data and Privacy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internal information technology systems, or those used by our CROs, CMOs, clinical sites or other contractors or consultants upon which we rely, are or were compromised, become unavailable or suffer security breaches, loss or leakage of data or other disruptions, we could suffer material adverse consequences resulting from such compromise, including, but not limited to, operational or service interruption, harm to our reputation, litigation, fines, penalties and liability, compromise of sensitive information related to our business,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the third parties upon which we rely, process sensitive data and, as a result, we and the third parties upon which we rely face a variety of evolving threats which could cause security incidents.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internal information technology systems and those of our CROs, CMOs, clinical sites and other contractors and consultants upon which we rely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credential stuffing, credential harvesting, personnel misconduct or error, software bugs, server malfunctions, software or hardware failures, loss of data or other information technology assets, adware, telecommunications failures, earthquakes, fires, floods, and other similar threats.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In particular, ransomware attacks, including those from organized criminal threat actors, nation-states and nation-state-supported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actors also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products, if approved.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future business transactions (such as acquisitions or integrations) could expose us to additional cybersecurity risks and vulnerabilities, as our systems could be negatively affected by vulnerabilities present in acquired or integrated entities’ systems and technologies. Additionally,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take steps to detect and remediate vulnerabilities, we may not be able to detect and remediate all vulnerabilities because the threats and techniques used to exploit such vulnerabilities change frequently and are often sophisticated in nature. Therefore, such vulnerabilities could be exploited but may not be detected until after a security incident has occurred. As such, we may experience delays in developing and deploying remedial measures designed to address any such identified vulnerabilities. Furthermore, because the technologies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A security breach or privacy violation that leads to disclosure or modification of or prevents access to personal data or other protected information could harm our reputation, compel us to comply with federal and/or state breach notification laws and foreign law equivalents, subject us to mandatory corrective action, require us to verify the correctness of data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Moreover, a security breach that exposes our confidential intellectual property could compromise our patent portfolio. Additionally, theft of our intellectual property or proprietary business information could require substantial expenditures to remedy. Even if identified, we may be unable to adequately investigate or remediate incidents or breaches due to attackers increasingly using tools and techniques that are designed to circumvent controls, to avoid detection, and to remove or obfuscate forensic evidence. Regulators have also increased their focus on companies’ cybersecurity vulnerabilities and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third-party service providers and technologies to operate critical business systems to process sensitive information in a variety of contexts, including, without limitation, cloud-based infrastructure, encryption and authentication technology, employee email, and other functions. We also rely on third-party service providers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 including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related to significant security breaches or disruptions could be material and cause us to incur significant expenses.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do not believe that we have experienced any material system failures, accidents or security breaches, we have experienced cybersecurity incidents in the past and expect that we will experience cybersecurity incidents in the future. The procedures and controls we use to monitor these threats and mitigate our exposure may not be sufficient to prevent cybersecurity incidents. If any such incidents were to occur and cause interruptions in our operations, it could result in a disruption of our business and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incident were to result in the loss of or damage to our data or applications, or inappropriate disclosure of personal, confidential or proprietary information, we could incur liability and the further development of any product candidates could be delayed. Applicable data privacy and security obligations may require us to notify relevant stakeholders of security incidents. Such disclosures are costly, and the disclosure or the failure to comply with such requirements could lead to adverse consequences. Any such event could also result in legal claims or proceedings, liability under laws that protect the privacy of personal information and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penalties, and damage to our reputation and a loss of confidence in us and our ability to conduct clinical trials, which could delay the clinical development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comply with data privacy and security laws, regulations and other obligations could lead to government enforcement actions (which could include civil or criminal penalties), private litigation, negative publicity, and/or other adverse consequences that could negatively affect our operating results and business.</w:t>
      </w:r>
    </w:p>
    <w:p>
      <w:pPr>
        <w:pStyle w:val="TextBody"/>
        <w:bidi w:val="0"/>
        <w:spacing w:before="120" w:after="283"/>
        <w:jc w:val="left"/>
        <w:rPr>
          <w:rFonts w:ascii="Times New Roman" w:hAnsi="Times New Roman"/>
          <w:sz w:val="20"/>
        </w:rPr>
      </w:pPr>
      <w:r>
        <w:rPr>
          <w:rFonts w:ascii="Times New Roman" w:hAnsi="Times New Roman"/>
          <w:color w:val="000000"/>
          <w:sz w:val="20"/>
        </w:rPr>
        <w:t>We and our partners and vendors may be subject to federal, state, and foreign privacy and data protection laws and regulations that impose broad compliance obligations on the collection, possession, use, storage, access, disclosure, transfer, deletion and protection of personal data. 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data, could apply to our operations or the operations of our partners. In addition, we may obtain health information from third parties (including research institutions from which we obtain clinical trial data) that are subject to privacy and security requirements under HIPAA. Depending on the facts and circumstances, we could be subject to criminal and civil penalties if we violate HIPAA. HIPAA</w:t>
      </w:r>
      <w:r>
        <w:rPr>
          <w:rFonts w:ascii="Times New Roman" w:hAnsi="Times New Roman"/>
          <w:color w:val="231F20"/>
          <w:sz w:val="20"/>
        </w:rPr>
        <w:t xml:space="preserve"> mandates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w:t>
      </w:r>
      <w:r>
        <w:rPr>
          <w:rFonts w:ascii="Times New Roman" w:hAnsi="Times New Roman"/>
          <w:color w:val="000000"/>
          <w:sz w:val="20"/>
        </w:rPr>
        <w:t>Requirements for compliance under HIPAA are also subject to change, as the U.S. Department of Health and Human Services Office for Civil Rights issued a proposed rule that would amend certain security compliance requirements for covered entities and business associates.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when HIPAA does not apply, according to the Federal Trade Commission, or the FTC, failing to take appropriate steps to keep consumers’ personal data secure may constitute unfair acts or practices in or affecting commerce in violation of the FTC Act. The FTC expects a company’s data security measures to be reasonable and appropriate in light of the sensitivity and volume of personal data it holds, the size and complexity of its business, and the cost of available tools to improve security and reduce vulnerabilities. Individually identifiable health information is considered sensitive data that merits stronger safeguards. Additionally, the FTC’s Health Breach Notification Rule applies to health applications and other similar technologies and has expanded breach notification requirements, which may add additional complexity to compliance obligations. Further, the SEC implemented rules around incident reporting, requiring cybersecurity incidents to be reported four business days after determining that an incident is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Department of Justice issued a final rule entitled, “Preventing Access to U.S. Sensitive Personal Data and Government-Related Data by Countries of Concern or Covered Persons,” codified at 28 CFR part 202, or the Bulk Transfer Rule. The Bulk Transfer Rule prohibits and restricts bulk transfers of sensitive personal data (including genetic and health data) to countries of concern, such as China, Russia, and Iran to prevent access by foreign adversaries. It restricts our ability to engage in certain cross-border transactions involving genomic or biological samples and related data, which may increase compliance costs, lead to increased regulatory scrutiny or liability, and may require additional contractual negotiations, which may adversely impact our business, financial condition,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Failure to comply with these laws, where applicable, can result in the imposition of significant civil and/or criminal penalties and private litigation. For example, the California Consumer Privacy Act, or the CCPA, as revised and amended by the California Privacy Rights Act, created new individual privacy rights for California residents, including the right to opt out of certain disclosures of their data, the right to limit the use and disclosure of sensitive personal information (including health information). The CCPA places increased privacy and security obligations on entities handling certain personal data of California residents or households, limits data use and mandates audit requirements for higher risk data. The CCPA also creates a private right of action with statutory damages for certain data breaches, thereby potentially increasing risks associated with a data breach. Although there are limited exemptions for clinical trial data and some other health data under the CCPA, as currently written, the CCPA may impact our business activities and exemplifies the vulnerability of our business to the evolving regulatory environment related to personal data and protected health information. The CCPA is enforced by the California Privacy Protection Agency, a data protection authority, which has the power to issue substantive regulations resulting in increased privacy and information security enforcement. Additional compliance investment and potential business process changes may be required.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California was the first among the states to adopt comprehensive data privacy legislation similar to the GDPR, many other states are following suit, which could increase our potential liability and adversely affect our business. Many states have adopted statewide comprehensive privacy laws and many other states have privacy legislation that is pending. Many of these new state laws contain some type of exemption for information collected under HIPAA and some data processed in the context of clinical trials, either at the entity level or the data level, so the impact might be limited particularly as it relates to protected health information. Some states also have laws that specifically focus on the processing of personal data related to individuals’ health, including California’s Confidentiality of Medical Information Act and Washington’s My Health My Data Act. Changes to federal and state privacy laws may add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all 50 U.S. states and territories and international jurisdictions have varying breach notification laws that may require us to notify patients, employees or regulators in the event of unauthorized access to or disclosure of personal or confidential data experienced by us or our service providers. These laws are not consistent, and compliance in the event of a widespread data breach is difficult and may be costly. We also may be contractually required to notify patients or other counterparties of a security breach.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data protection laws, including the European Union’s General Data Protection Regulation, or the EEA GDPR, and the UK equivalent of the same, or UK GDPR, may also apply to our processing of health-related and other personal data regardless of where the processing in question is carried out.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GDPR in the EEA and the UK GDPR in the United Kingdom, together the GDPR, impose stringent requirements for controllers and processors of personal data of individuals within the European Economic Area, or EEA, or the United Kingdom. The GDPR applies to any company established in the EEA or United Kingdom as well as to those outside the EEA or United Kingdom if they collect and use personal data in connection with the offering of goods or services to individuals in the EEA or United Kingdom or the monitoring of their behavior. The GDPR, together with national legislation, regulations and guidelines of the EEA Member States and the United Kingdom governing the processing of personal data, imposes strict obligations and restrictions on the ability to collect, analyze and transfer personal data, including health data from clinical trials and adverse event reporting and access to certain data under frameworks such as the European Health Data Space Regulation.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Such requirements may be subject to change in the near future as the European Commission announced proposed amendments to the GDPR in November 2025. In addition, on June 19, 2025, the UK’s Data (Use and Access) Act 2025, or the DUAA, was granted Royal Assent, implementing various measures concerning data usage in the UK and reforming data protection laws. It remains too soon to tell how the DUAA will be implemented and what impact it will have on our international activities. Further, other EU and member state laws and regulations may impose further obligations or restrictions on processing health information in the EEA, such as the European Health Data Space Regulation.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EEA, the NIS 2 Directive, or NIS 2, is replacing the cybersecurity legal framework under the current NIS framework, aiming to ensure a high level of cybersecurity in the region. NIS 2 brings new medium and large organizations providing services in the EEA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October 17, 2024 to transpose NIS 2 into national legislation, although many countries have still not completed the transposition. As such, the cybersecurity regulatory landscape in the EU is currently fragmented and uncertain. To the extent that we become subject to NIS 2 in the future, we may require additional investment of our resources in compliance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programs. Under NIS 2, companies may be subject to administrative fines of up to the higher amount of €10 million or 2% of worldwide turnover.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Implementing mechanisms to endeavor to ensure compliance with the GDPR and relevant local legislation in EEA Member States and the United Kingdom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class-action-type litigation. While we have taken steps to comply with the GDPR where applicable, including by reviewing our security procedures, engaging data protection personnel, and entering into data processing agreements with relevant contractors, our efforts to achieve and remain in compliance may not be fully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jurisdictions, including the EEA, have enacted laws and regulations governing cross-border personal information transfer and providing for data localization in certain cases. For example, absent appropriate safeguards or other circumstances, the GDPR and laws in the UK generally restrict the transfer of personal information to countries outside the EEA and the UK, such as the United States. Such safeguards include the use of standard contractual clauses approved by the European Commission and the UK Data Protection Authority as well as the EU-U.S. Data Privacy Framework. If we are unable to implement a valid solution to transfer personal data from the EEA to the United States or other countries that have not been deemed to provide an essentially equivalent level of data protection, we may face increased exposure to regulatory action, substantial fines, or injunction orders to stop processing personal data from EEA or UK residents. Any inability to import personal data to the United States may also restrict our clinical trials activities in the EU, limit our ability to collaborate with contract research organizations as well as other service providers, contractors and other companies subject to EU data privacy and security laws, and require us to increase our data processing capabilities in the EU and the UK at a significant expense. Additionally, other countries outside of the EU have enacted or are considering enacting similar cross-border data transfer restrictions and laws requiring local data residency, which could increase the cost and complexity of delivering our services and operating our business. The types of challenges we face in the EEA and the UK will likely also arise in other jurisdictions that adopt laws similar to the GDPR or regulatory frameworks of equivalent complexity.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Artificial intelligence presents risks and challenges that can impact our business, including by posing security risks to our confidential information, proprietary information and personal data.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Issues in the development and use of artificial intelligence, or AI, combined with an uncertain regulatory environment, may result in reputational harm, liability, or other adverse consequences to our business operations. As with many technological innovations, AI presents risks and challenges that could impact our business. We may adopt and integrate generative AI tools into our systems for specific use cases reviewed by legal and information security. Our vendors may incorporate generative AI tools into their offerings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AI, we may lose valuable intellectual property and confidential information and our reputation and the public perception of the effectiveness of our 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have a material adverse effect on our business, financial condition and results of operations.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ineffective or inadequate AI development or deployment practices could result in unintended consequences. For example, AI algorithms we may use in connection with our operations may be flawed or based on datasets that are biased or insufficient, potentially leading to errors in our business processes. Disruption or failure in AI functionality could adversely affect our business, cause delays or inaccuracies in our offerings, or harm our reputation. Conversely, if we are unable to adopt and deploy AI effectively as quickly as our competitors, it may cause us to be relatively less productive or innovative, adversely impacting our competitiveness and requiring additional investments that increase our costs. Laws and regulations regarding AI technologies are rapidly evolving as well, including in the areas of intellectual property, cybersecurity, privacy, and data protection. Compliance with new or changing laws, regulations, or industry standards relating to AI may impose significant operational and financial burdens and may limit our ability to develop, deploy, or use AI technologies in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relied and expect to continue to rely on third parties to conduct our preclinical studies and clinical trials, as well as investigator-initiated trials. If those third parties do not perform as contractually required, fail to satisfy legal or regulatory requirements, miss expected deadlines or terminate the relationship, our development programs could be delayed, or become more costly or unsuccessful, and we may never be able to seek or obtain regulatory approval for or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intend to rely in the future on third-party clinical investigators, CROs, and clinical data management organizations to conduct, supervise and monitor preclinical studies and clinical trials of our current or future product candidates. In addition, third parties are conducting and we expect will continue to conduct investigator-initiated trials with our product candidates. Because we currently rely and intend to continue to rely on these third parties, we will have less control over the timing, quality and other aspects of preclinical studies and clinical trials than we would have had we conducted them independently. These parties are not, and will not be, our employees and we will have limited control over the amount of time and resources that they dedicate to our programs. Additionally, such parties may have contractual relationships with other entities, some of which may be our competitors, which may draw time and resources from our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experience as a company in filing and supporting the applications necessary to gain marketing approvals. Securing marketing approval requires the submission of extensive preclinical and clinical data and supporting information to regulatory authorities for each indication to establish the product candidate’s safety or efficacy for that indication. Securing marketing approval also requires the submission of information about the product manufacturing process to, and inspection of manufacturing facilities and clinical trial sites by, applicable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is conducted in accordance with good laboratory practices, or GLPs, and clinical trials are conducted in accordance with GCPs. Moreover, the FDA and comparable foreign regulatory authorities require us to comply with GCPs for conducting, recording and reporting the results of clinical trials to assure that data and reported results are credible and accurate and that the rights, safety and well-being of trial participants are protected. Regulatory authorities enforce these requirements through periodic inspections (including pre-approval inspections once an NDA or BLA is submitted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 regulations. Moreover, our business may be significantly impacted if our CROs,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investigators or other third parties violate federal or state healthcare fraud and abuse or false claims laws and regulations or healthcare privacy and security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marketing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relationships with these third parties terminate, we may not be able to enter into alternative arrangements or do so on commercially reasonable terms. Switching or adding additional contractors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terminated entirely, which may delay our continued development of our product candidates utilizing the collaborator’s technology or intellectual property or require us to stop development of those product candidates completely.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and/or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facilities for drug manufacturing, storage, distribution or quality testing. We currently rely, and expect to continue to rely, on third-party contract developers and manufacturers to manufacture drug substances, drug products, raw materials, samples, components, and other materials for our product candidates. For example, under the MAT Agreement, MAT provides us with certain customized cell manufacturing, release and testing services for our miv-cel product candidate; under the Elevate CCSA, Elevate provides us with development and manufacturing services for the clinical and commercial supply of miv-cel; and pursuant to the Oxford Agreement, we engaged Oxford to undertake lentiviral vector process development services, with the intention for Oxford to ultimately manufacture and supply to us lentiviral vectors for research and development purposes and for use in connection with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third-party manufacturers may expose us to different risks than if we were to manufacture product candidates ourselves. There can be no assurance that our preclinical and clinical development product supplies will not be limited, interrupted or terminated, or will be of satisfactory quality or be available at acceptable prices. In addition, any replacement of our manufacturer could require significant effort and time because there may be a limited number of qualified replacements.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manufacturing process for our product candidates is subject to the FDA, EMA and foreign regulatory authority review. We and our suppliers and manufacturers must meet applicable manufacturing requirements and undergo rigorous facility and process validation tests required by regulatory authorities in order to comply with regulatory standards, such as cGMPs, and, in certain cases, current good tissue practice, or cGTP, requirements. Securing marketing approval also requires the submission of information about the product manufacturing process to, and inspection of manufacturing facilities by, the FDA, EMA and foreign regulatory authorities. If our CMOs cannot successfully manufacture material that conforms to our specifications and the strict regulatory requirements of the FDA, EMA or comparable foreign regulatory authorities, we may not be able to rely on their facilities for the manufacture of elements of our product candidates. Moreover, we do not conduct the manufacturing process ourselves and are dependent on our CMOs for manufacturing in compliance with current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requirements. In the event that any of our manufacturers fails to comply with such requirements or to perform its obligations in relation to quality, timing or otherwise, or if our projected manufacturing capacity or supply of materials becomes limited, delayed, interrupted, or more costly than anticipated, we may be forced to enter into an agreement with another third party, which we may not be able to do timely or on reasonable terms, if at all. In some cases, the technical skills or technology required to manufacture our product candidates may be unique or proprietary to the original manufacturer and we may have difficulty transferring such to another third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would increase our reliance on such manufacturer or require us to obtain a license from such manufacturer in order to enable us to manufacture, or to have another third party manufacture, our product candidates. 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The delays and costs associated with the verification of a new manufacturer could negatively affect our ability to develop product candidates in a timely manner or within budget.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recent legislation, certain third-party manufacturers and other third parties (frequently China-based companies) may be considered a “biotechnology company of concern.” If a third-party manufacturer receives such a designation, it may restrict the ability of U.S. companies like us to purchase services or products from, collaborate with, or otherwise work with such manufacturers. For example, it may delay the procurement or supply of such material or have an adverse effect on our ability to secure significant commitments from governments to purchase our potential therapies. Such disruption could have adverse effects on the development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 requirements, quality control, quality assurance and corresponding maintenance of records and documents. If we are unable to obtain or maintain third-party manufacturing for our product candidates, or to do so on commercially reasonable terms, we may not be able to develop and commercialize our product candidates successfully. Our or a third party’s failure to execute on our manufacturing requirements, comply with cGMPs and cGTPs, or maintain a compliance status acceptable to the FDA, EMA or foreign regulatory authorities could adversely affect our business in a number of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initiate or continue preclinical studies or clinical trials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in submitting regulatory applications, or receiving regulatory approvals, for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the cooperation of existing or future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approval to market and commercialize a product candidate, an inability to meet commercial demands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enforcement actions against our manufacturers or us, including fines and civil, criminal and administrative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requirements to cease distribution of the products, product seizure, detention, or recall, operating restrictions, suits under the civil False Claims Act, corporate integrity agreements, consent decrees, or withdrawal of product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our CMOs may experience difficulties due to resource constraints or as a result of labor disputes or unstable political environments. If our CMOs were to encounter any of these difficulties, our ability to provide our product candidates to participants in preclinical and clinical trials, or to provide product for treatment of participants if approved, would be jeopardized. For example, the current U.S. administration has substantially altered prior U.S. government international trade policy and has commenced activities to renegotiate, or potentially terminate, certain existing bilateral or multi-lateral trade agreements and treaties with foreign countries. In addition, the current U.S. administration has initiated and continues to consider imposing additional tariffs on certain foreign goods. Related to this action, certain foreign governments, including China, have instituted or are considering imposing reciprocal tariffs on certain U.S. goods. It remains unclear what the current U.S. administration or foreign governments will or will not do with respect to tariffs or other international trade agreements and policies. A trade war or other governmental action related to tariffs or international trade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agreements or policies has the potential to disrupt our research activities, affect our suppliers and increase the cost of materials purchased to manufacture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limited source suppliers for certain drug substances, drug products, raw materials, samples, components, and other materials used in our product candidates. If we are unable to source these supplies on a timely basis, or establish longer-term contracts with our CMOs, we will not be able to complete our clinical trials on time and the development of our product candidates may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limited source suppliers for certain drug substances, drug products, raw materials, samples, components, and other materials used in our product candidates. For example, MAT and Elevate are currently our only providers of customized cell manufacturing, release and testing services for our miv-cel product candidate. We do not currently have long-term supply contracts with all of our CMOs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CMOs in the future as we advance our clinical trials or commercialization plans, we may not be successful in negotiating such agreements on favorable terms or at all.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utilize the drug products that we are required to purchase. Any change in our relationships with our CMOs or changes to contractual terms of our agreements with them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any of the sole source and limited source suppliers upon whom we rely could stop producing our supplies, produce insufficient quantities of our supplies or otherwise fail to meet contractual requirements, experience financial difficulties, cease operations, face business disruptions or be acquired by, or enter into exclusive arrangements with, our competitors. In addition, geopolitical tensions may impact our CMOs.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operations of our suppliers, some of which are located outside of the United States, are subject to additional risks that are beyond our control and that could harm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Currently, some of our suppliers are located outside of the United States. As a result, we are subject to risks associated with doing business abroad,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unrest, terrorism, labor disputes, and economic instability resulting in the disruption of trade from foreign countries in which our products are manufactured;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challenges and increased costs with enforcing and periodically auditing or reviewing our suppliers’ and manufacturers’ compliance with cGMPs or cGTPs or status acceptable to the FDA, EMA or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protection for intellectual property rights, including trademark protection, in some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in operations due to global, regional, or local public health crises or other emergencies or natural disasters;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or delays in shipments;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local economic conditions in countries where our manufacturers or suppliers are located.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factors beyond our control could interrupt our suppliers’ production, influence the ability of our suppliers to export our clinical supplies cost-effectively or at all, and inhibit our suppliers’ ability to procure certain materials, any of which could harm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form or seek collaborations or strategic alliances or enter into additional licensing arrangements in the future, which may be important to our business. If we are unable to enter into new collaborations, or if these or any of our current collaborations are not successful and we fail to realize the benefits of such collaborations or licensing arrangements, our business, results of operations and financial condition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part of our strategy is to strategically evaluate and, as we deem appropriate, enter into additional partnerships in the future, including potentially with major biotechnology or pharmaceutical companies. We have limited capabilities for product development and do not yet have any capability for commercialization. Accordingly, we may continue to enter into collaborations with other companies in the future to provide us with important technologies and funding for our programs and technology. Any future collaborations that we enter into may not be successful. The success of our collaboration arrangements will depend heavily on the efforts and activities of our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collaborations and any future collaborations we enter into may pose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any product candidates that achieve regulatory approval or may elect not to continue or renew development or commercialization programs or license arrangements based on clinical trial or test results, changes in the collaborators’ strategic focus or available funding, or external factors, such as a strategic transaction that may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own or co-own intellectual property covering our product candidates that results from our collaborating with them, and in such cases, we would not have the exclusive right to develop or commercialize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fail to comply with applicable regulatory requirements regarding the development, manufacture, distribution or marketing of a product candidate or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manufacturing and distribution rights to one or more of our product candidates that achieve regulatory approval, if any, may not commit sufficient resources to or otherwise not perform satisfactorily in carrying out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collaborators, including disagreements over proprietary rights, contract interpretation or the preferred course of development, might cause delays or terminations of the research, development or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commercialization of product candidates, if approved, might lead to additional responsibilities for us with respect to product candidates, or might result in litigation or arbitration, any of which would be time-consuming and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seek to amend or modify the terms of any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such a way as to invite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collaborator of ours is involved in a business combination, the collaborator might deemphasize or terminate the development or future commercialization of any product candidate licensed to it by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by the collaborator, and, if terminated, we could be required to raise additional capital to pursue further development or future commercialization of the applicable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collaborations do not result in the successful discovery, development and future commercialization of product candidates, if approved, or if one of our collaborators terminates its agreement with us, we may not receive any future research funding or milestone or royalty payments under such collaboration. All of the risks relating to product development, regulatory approval and future commercialization described in this “Risk Factors” section and elsewhere in this Quarterly Report on Form 10-Q also apply to the activities of our therapeutic collaborators. Additionally, if one of our collaborators terminates its agreement with us, we may find it more difficult to attract new collaborators and our perception in the business and financial communities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competition in seeking appropriate partners for our product candidates, and the negotiation process is time-consuming and complex. In order for us to successfully partner with our product candidates, potential partners must view these product candidates as economically valuable in markets they determine to be attractive in light of the terms that we are seeking and other available products for licensing by other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Collaborations are complex, expensive and time-consuming to negotiate and document. In addition, there have been a significant number of recent business combinations among large 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Additionally, our collaboration agreements may contain non-competition provisions that could limit our ability to enter into strategic collaborations with future collaborators or restrict our ability to commercialize products on our own,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if approved, or reduce the scope of any sales or marketing activities, or increase our expenditures and undertake development or future commercialization activities at our own expense. If we elect to increase our expenditures to fund development or future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future commercialization activities, we may not be able to further develop our product candidates, bring them to market, if approved, and generate revenue from sales of drugs or continue to develop our technology, and our business, results of operations and financial condition could be adversely affected. Even if we are successful in our efforts to establish new strategic partnerships, the terms that we agree upon may not be favorable to us, and we may not be able to maintain such strategic partnerships if, for example, development or approval of a product candidate is delayed or sales of any approved product are disappointing. Any delay in entering into new strategic partnership agreements related to our product candidates could delay the development and future commercialization of our product candidates, if approved, and reduce their competitiveness even if they reach the market.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stock price may be volatile.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is volatile and could fluctuate widely in response to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volatility and instability in the financial and capital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relating to our product candidates, including the results of clinical trials by us or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competitors that impact our competitive outlook;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developments with respect to our product candidates, or similar products or product candidates with which we compete;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with respect to patents or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technological innovations, new product candidates, new products or new contracts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relating to strategic transactions, including acquisitions, collaborations, licenses or similar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operating results due to the level of development expenses and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financial estimates by equities research analysts and whether our earnings (or losses) meet or exceed such estimates;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 and receipt, or lack of receipt, of funding in support of conducting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 or issuances by us of shares of our common stock in connection with strategic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and trends in the pharmaceutical, biotechnology and other industries;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within, and outside of, the United States that may impact the operation of our business, including 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arbitration;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pandemics, natural disasters or major catastrophic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political and market conditions and other factors;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of the risks described in this section titled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experienced volatility in our stock price. For example, from January 1, 2025 to December 31, 2025, our closing stock price ranged from $1.83 to $10.82 per share, and from January 1, 2026 to June 30, 2026, our closing stock price ranged from $7.26 to $11.25 per share. When the market price of a stock has been volatile, as our stock price has been, holders of that stock have occasionally brought securities class action litigation claims against the company that issued the stock. If any of our stockholders were to bring a lawsuit of this type against us, even if the lawsuit were without merit, we could incur substantial costs defending the lawsuit. The lawsuit could also divert the time and attention of our management. See the risk factor under the heading “We or our directors or officers may be subject to securities litigation, which is expensive and could divert management attention” above for a discussion of a securities class action complaint in which we are currently named as a defendant.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quarterly and annual operating results may fluctuate significantly or may fall below the expectations of investors or securities analysts or any guidance we may publicly provide, each of which may cause our stock price to fluctuate or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operating results to be subject to quarterly and annual fluctuations which may, in turn, cause the price of our common stock to fluctuate substantially. Our net loss and other operating results will be affected by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the level of expense related to the ongoing development of our product candidates or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and timing of preclinical studies and ongoing and future clinical trials, or the addition or termination of any such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payments we may make or receive under existing license and collaboration arrangements or the termination or modification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execution of any strategic transactions, including acquisitions, collaborations, licenses or similar arrangements, and the timing and amount of payments we may make or receive in connection with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recruitment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receives regulatory approval, the terms of such approval and market acceptance and demand for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our product candidates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stock-based compensation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impacts of inflation and rising interest rates on our business and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opportunities for our product candidates and forecasts of market growth may not be accurate, and the actual market for our products may be smaller than we estimate, and even if the markets in which we compete achieve the forecasted growth, our business may not grow at similar rates,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precise incidence and prevalence for all of the conditions we aim to address with our product candidates are unknown. Our estimates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scientific literature, surveys of clinics, patient foundations or market research, and may prove to be incorrect in general, or as to their applicability to our company. Further, new trials may change the estimated incidence or prevalence of these diseases. Even if the markets in which we compete meet our size estimates and growth forecasts, our business may not grow at similar rates, or at all. The total addressable market across all of our product candidates will ultimately depend upon, among other things, the diagnosis criteria included in the final label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United States,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 despite obtaining such significant market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do not anticipate paying any dividends on our capital stock in the foreseeable future, capital appreciation, if any, will be your sole source of gain.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dividends on our capital stock. Under the Loan and Security Agreement, we are prohibited from paying any dividends without the prior written consent of Oxford Finance.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occur, will be your sole source of gain on your investment for the foreseeable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future issuance of equity or of debt securities that are convertible into equity would dilute our stockholders' ownership.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other equity securities or the availability of common stock for future sales will have on the trading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our 2024 Equity Incentive Plan, or our 2024 Plan, our management is authorized to grant stock options to our employees, directors and consultants. As of June 30, 2026, we had 4,535,168 shares of common stock available for future issuance under our 2024 Plan. Additionally, the number of shares of our common stock reserved for issuance under the 2024 Plan will automatically increase on January 1st of each year, continuing through and including January 1, 2034, by 5% of the total number of shares of our capital stock outstanding on December 31 of the preceding calendar year, or a lesser number of shares determined by our board of directors. In accordance with the foregoing, on January 1, 2026, an aggregate of 3,019,494 shares of our common stock were added to the reserve of shares available for future issuance under the 2024 Plan. Additionally, pursuant to our Amended and Restated 2024 Inducement Equity Incentive Plan, or our Inducement Plan, our management is authorized to grant equity-based awards in the form of stock options, stock appreciation rights, restricted stock, restricted stock units, performance units and performance shares solely to our prospective employees provided that certain criteria are met. As of June 30, 2026, we had 10,741 shares of common stock available for future issuance under our Inducement Plan. Unless our board of directors or a committee thereof elects not to increase the number of shares available for future grant each year under the 2024 Plan or Inducement Plan, our stockholders may experience additional dilution, which could cause our stock price to fall.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board of directors is authorized to issue and designate shares of our preferred stock without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authorizes our board of directors, without the approval of our stockholders, to issue shares of preferred stock, subject to limitations prescribed by applicable law, rules and regulations and the provisions of our amended and restated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acquire other businesses, form joint ventures or make investments in other companies or technologies that could negatively affect our operating results, dilute our stockholders’ ownership, increase our debt or cause us to incur significant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business strategy, we may pursue acquisitions of assets or licenses of assets, including preclinical, clinical or commercial stage products or product candidates, businesses, strategic alliances, joint ventures and collaborations, to expand our existing technologies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potential acquisition or strategic partnership may entail numerous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operating expenses and cash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 of additional indebtedness, contractual obligations or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our equity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assimilation of operations, intellectual property and products of an acquired company, including difficulties associated with integrating new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diversion of our management’s attention from our existing product programs and initiatives in pursuing such a strategic merger or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retention of key employees, the loss of key personnel, and uncertainties in our ability to maintain key business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their regulatory compliance status, and their existing products or product candidates and marketing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the incurrence of debt, contingent liabilities or future write-offs of intangible assets or goodwill, any of which could have a negative impact on our cash flows, financial condition and results of operations. Integration of an acquired company also may disrupt ongoing operations and require management resources that we would otherwise focus on developing our existing business. We may experience losses related to investments in other companies, which could harm our financial condition and results of operations. We may not identify or complete these transactions in a timely manner, on a cost-effective basis or at all, and we may not realize the anticipated benefits of any acquisition, license, strategic alliance or joint venture.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finance such a transaction, we may issue dilutive securities, assume or incur debt obligations, incur large one-time expenses and acquire intangible assets that could result in significant amortization expense. If the price of our common stock is low or volatile, we may not be able to acquire other companies or fund a joint venture project using our stock as consideration. Alternatively, it may be necessary for us to raise additional funds for these activities through public or private financings or through the issuance of debt. Additional funds may not be available on terms that are favorable to the Company, or at all, and any debt financing may involve covenants limiting or restricting our ability to take certain 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by our existing stockholders in the public market could cause our stock price to fall.</w:t>
      </w:r>
    </w:p>
    <w:p>
      <w:pPr>
        <w:pStyle w:val="TextBody"/>
        <w:bidi w:val="0"/>
        <w:spacing w:before="240" w:after="283"/>
        <w:jc w:val="left"/>
        <w:rPr>
          <w:rFonts w:ascii="Times New Roman" w:hAnsi="Times New Roman"/>
          <w:sz w:val="20"/>
        </w:rPr>
      </w:pPr>
      <w:r>
        <w:rPr>
          <w:rFonts w:ascii="Times New Roman" w:hAnsi="Times New Roman"/>
          <w:color w:val="000000"/>
          <w:sz w:val="20"/>
        </w:rPr>
        <w:t>On March 26, 2026, we filed a shelf Registration Statement on Form S-3 (File No. 333-294645), or the 2026 Shelf Registration Statement, that became effective on April 2, 2026 and allows us to undertake various equity and debt offerings for an aggregate amount of up to $300.0 million. In addition, on March 27, 2025, we entered into an Open Market Sale Agreement</w:t>
      </w:r>
      <w:r>
        <w:rPr>
          <w:rFonts w:ascii="Times New Roman" w:hAnsi="Times New Roman"/>
          <w:color w:val="000000"/>
          <w:sz w:val="13"/>
        </w:rPr>
        <w:t>SM</w:t>
      </w:r>
      <w:r>
        <w:rPr>
          <w:rFonts w:ascii="Times New Roman" w:hAnsi="Times New Roman"/>
          <w:color w:val="000000"/>
          <w:sz w:val="20"/>
        </w:rPr>
        <w:t xml:space="preserve"> with Jefferies, LLC, or the Agent, pursuant to which we may offer and sell from time to time through the Agent up to $100.0 million in shares of our common stock pursuant to the 2026 Shelf Registration Statement, or the ATM Prospectus. As of August 3, 2026, $96.3 million remains allocated and available under the ATM Prospectus and $200.0 million remains available and unallocated under the 2026 Shelf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shares of our common stock that are subject to outstanding options under our equity incentive plans are eligible for sale in the public market, to the extent permitted by the provisions of various vesting schedules, the lock-up agreements (and the exceptions thereto) and Rule 144 and Rule 701 under the Securities Act of 1933, as amended, or the Securities Act. If these additional shares of our common stock are sold, or if it is perceived that they will be sold, in the public market, the trading price of our common stock could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Conflicts of interest may arise because some members of our board of directors are representatives of our principal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common stock and will be able to control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August 3, 2026, our executive officers, directors and holders of 5% or more of our capital stock beneficially owned approximately 40.1% of our outstanding common stock.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our election of reduced reporting requirements applicable to emerging growth companies and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or Section 404, reduced disclosure obligations regarding executive compensation in our Annual Reports on Form 10-K and our other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We could be an emerging growth company for up to five years following the completion of our IPO, although circumstances could cause us to lose that status earlier, including if we are deemed to be a “large accelerated filer,” which occurs when the market value of our common stock that is held by non-affiliates exceeds $700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could still qualify as a “smaller reporting company,” which would allow us to take advantage of many of the same exemptions from disclosure requirements including not being required to comply with the auditor attestation requirements of Section 404 and reduced disclosure obligations regarding executive compensation in our Annual Reports on Form 10-K and our other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JOBS Act provides that an emerging growth company can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failure to meet Nasdaq’s continued listing requirements could result in a delisting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prevent or delay an acquisition of us that may be beneficial to our stockholders,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staggered board of directors divided into three classes serving staggered three-year terms, such that not all members of our board of directors will be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one or more new series of preferred stock without stockholder approval and create, subject to applicable law, one or more series of preferred stock with preferential rights to dividends or our assets upon liquidation, or with superior voting rights to our existing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 the ability of our stockholders to fill vacancies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of directors or for proposing matters that can be acted upon by stockholders at our annual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our board of directors to establish the number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board of directors is expressly authorized to make, alter or repeal our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stockholders can remove directors only for cause and only upon the approval of not less than 66-2/3% of all outstanding shares of our capital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not less than 66-2/3% of all outstanding shares of our capital stock to amend our amended and restated bylaws and specific provisions of our amended and restated certificate of incorporation;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the jurisdictions in which certain stockholder litigation may be brought.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Section 203 of the General Corporation Law of the State of Delaware, or the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to the fullest extent permitted by law, unless we consent in writing to the selection of an alternative forum, the Court of Chancery of the State of Delaware (or another state court or the federal court located within the State of Delaware if the Court of Chancery does not have or declines to accept jurisdiction) shall be the sole and exclusive forum, in all cases subject to the court’s having jurisdiction over indispensable parties named as defendants, for: (i) any derivative action or proceeding brought on our behalf; (ii) any action asserting a breach of fiduciary duty owed to us or our stockholders by any director, officer or other employee; (iii) any action asserting a claim against us or any director, officer or other employee arising pursuant to the DGCL; (iv) any action to interpret, apply, enforce or determine the validity of our amended and restated certificate of incorporation or amended and restated bylaws; or (v) any other action asserting a claim that is governed by the internal affairs doctrine. In addition, our amended and restated certificate of incorporation provides that the federal district courts of the United States are the exclusive forum for resolving any complaint asserting a cause of action arising under the Securities Act but that the exclusive forum provision does not apply to claims brought to enforce a duty or liability created by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shares of our capital stock shall be deemed to have notice of and consented to this exclusive forum provision, but will not be deemed to have waived our compliance with the federal securities laws and the rules and regulations thereunder.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publish inaccurate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Techniques employed by short sellers may drive down the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 selling is the practice of selling securities that the seller does not own, but rather has borrowed from a third-party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best interests for the price of the stock to decline, many short sellers publish, or arrange for the publication of, negative opinions regarding the relevant issuer and its business prospects in order to create negative market momentum and generate profits for themselves after selling a stock short. These short attacks have, in the past, led to selling of shares in the market. While we would strongly defend against any such short seller attacks, we may be constrained in the manner in which we can proceed against the relevant short seller by applicable state law or issues of commercial confidentiality. Such a situation could be costly and time-consuming, and could be distracting for our management team. Additionally, such allegations against us could negatively impact our business operations and stockholders' equity, and the value of any investment in our stock could be reduced.</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 Use of Proceeds from Initial Public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12, 2024, we closed the IPO, pursuant to which we issued and sold 16,675,000 shares of common stock, which included the exercise in full by the underwriters of their option to purchase 2,175,000 additional shares, at an initial public offering price of $22.00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offer and sale of all of the shares of our common stock in the IPO were registered under the Securities Act pursuant to a registration statement on Form S-1 (File No. 333-276523), which was declared effective by the SEC on February 7, 2024. Following the sale of the above shares, the offering terminated. J.P. Morgan, Morgan Stanley, Leerink Partners and Wells Fargo Securities acted as joint book-running managers.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received aggregate gross proceeds from the IPO of $366.9 million, or aggregate net proceeds of $336.2 million, inclusive of the full exercise by the underwriters of their option to purchase additional shares, after deducting underwriting discounts and commissions and estimated other offering costs totaling $30.7 million. None of the underwriting discounts and commissions or offering expenses were incurred or paid, directly or indirectly, to (i) our directors or officers or their associates, (ii) persons owning 10% or more of our common stock or (iii) any of our affiliates.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no material change in our planned use of the net proceeds from the IPO as described in our final prospectus filed pursuant to Rule 424(b)(4) under the Securities Act with the SEC on February 8,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 Issuer Repurchases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June 30, 2026, none of our directors or officers (as defined in Section 16 of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
        <w:gridCol w:w="146"/>
        <w:gridCol w:w="9299"/>
      </w:tblGrid>
      <w:tr>
        <w:trPr/>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9" w:type="dxa"/>
            <w:tcBorders/>
            <w:vAlign w:val="center"/>
          </w:tcPr>
          <w:p>
            <w:pPr>
              <w:pStyle w:val="TableContents"/>
              <w:bidi w:val="0"/>
              <w:spacing w:before="0" w:after="283"/>
              <w:jc w:val="left"/>
              <w:rPr>
                <w:sz w:val="4"/>
                <w:szCs w:val="4"/>
              </w:rPr>
            </w:pPr>
            <w:r>
              <w:rPr>
                <w:sz w:val="4"/>
                <w:szCs w:val="4"/>
              </w:rPr>
            </w:r>
          </w:p>
        </w:tc>
      </w:tr>
      <w:tr>
        <w:trPr/>
        <w:tc>
          <w:tcPr>
            <w:tcW w:w="760"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of Kyverna Therapeutics, Inc. (incorporated by reference to Exhibit 3.1 to the Registrant’s Current Report on Form 8-K filed with the SEC on February 12, 2024)</w:t>
              </w:r>
            </w:hyperlink>
            <w:r>
              <w:rPr>
                <w:rFonts w:ascii="Times New Roman" w:hAnsi="Times New Roman"/>
                <w:color w:val="000000"/>
                <w:sz w:val="20"/>
              </w:rPr>
              <w:t xml:space="preserve">.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Kyverna Therapeutics, Inc. (incorporated by reference to Exhibit 3.2 to the Registrant’s Current Report on Form 8-K filed with the SEC on February 12, 2024)</w:t>
              </w:r>
            </w:hyperlink>
            <w:r>
              <w:rPr>
                <w:rFonts w:ascii="Times New Roman" w:hAnsi="Times New Roman"/>
                <w:color w:val="000000"/>
                <w:sz w:val="20"/>
              </w:rPr>
              <w: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Common Stock Certificate (incorporated by reference to Exhibit 4.1 to the Registrant’s Registration Statement on Form S-1 (File No. 333-276523) filed with the SEC on January 16, 2024)</w:t>
              </w:r>
            </w:hyperlink>
            <w:r>
              <w:rPr>
                <w:rFonts w:ascii="Times New Roman" w:hAnsi="Times New Roman"/>
                <w:color w:val="000000"/>
                <w:sz w:val="20"/>
              </w:rPr>
              <w:t xml:space="preserve">.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tx-ex10_1.htm">
              <w:r>
                <w:rPr>
                  <w:rStyle w:val="InternetLink"/>
                  <w:rFonts w:ascii="Times New Roman" w:hAnsi="Times New Roman"/>
                  <w:color w:val="0000FF"/>
                  <w:sz w:val="20"/>
                  <w:u w:val="single"/>
                </w:rPr>
                <w:t>Employment Offer Letter, dated April 13, 2026, between Kyverna Therapeutics, Inc. and Nadia Dac.</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Employment Offer Letter, dated May 8, 2026, between Kyverna Therapeutics, Inc. and Gregory Martini (incorporated by reference to Exhibit 10.1 to the Registrant’s Current Report on Form 8-K filed with the SEC on May 18,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Letter Agreement, dated May 14, 2026, between Kyverna Therapeutics, Inc. and Marc Grasso (incorporated by reference to Exhibit 10.2 to the Registrant’s Current Report on Form 8-K filed with the SEC on May 18,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tx-ex10_4.htm">
              <w:r>
                <w:rPr>
                  <w:rStyle w:val="InternetLink"/>
                  <w:rFonts w:ascii="Times New Roman" w:hAnsi="Times New Roman"/>
                  <w:color w:val="0000FF"/>
                  <w:sz w:val="20"/>
                  <w:u w:val="single"/>
                </w:rPr>
                <w:t>First Amendment to Loan and Security Agreement, entered into as of July 8, 2026 and made effective as of June 30, 2026, by and among Kyverna Therapeutics, Inc., Oxford Finance LLC, as collateral agent, and the lenders named therein or otherwise a party thereto from time to time.</w:t>
              </w:r>
            </w:hyperlink>
            <w:hyperlink w:anchor="kytx-ex10_4.htm">
              <w:r>
                <w:rPr>
                  <w:rStyle w:val="InternetLink"/>
                  <w:rFonts w:ascii="Times New Roman" w:hAnsi="Times New Roman"/>
                  <w:color w:val="0000FF"/>
                  <w:sz w:val="20"/>
                </w:rPr>
                <w:t xml:space="preserve"> </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tx-ex31_1.htm">
              <w:r>
                <w:rPr>
                  <w:rStyle w:val="InternetLink"/>
                  <w:rFonts w:ascii="Times New Roman" w:hAnsi="Times New Roman"/>
                  <w:color w:val="0000FF"/>
                  <w:sz w:val="20"/>
                  <w:u w:val="single"/>
                </w:rPr>
                <w:t>Certification of Principal Executive Officer pursuant to Rule 13a-14(a) or 15d-14(a) under the Securities Exchange Act of 1934.</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tx-ex31_2.htm">
              <w:r>
                <w:rPr>
                  <w:rStyle w:val="InternetLink"/>
                  <w:rFonts w:ascii="Times New Roman" w:hAnsi="Times New Roman"/>
                  <w:color w:val="0000FF"/>
                  <w:sz w:val="20"/>
                  <w:u w:val="single"/>
                </w:rPr>
                <w:t>Certification of Principal Financial Officer pursuant to Rule 13a-14(a) or 15d-14(a) under the Securities Exchange Act of 1934.</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t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t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Furnished herewith.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Portions of this exhibit (indicated by [ * * *]) have been omitted because the registrant has determined that the information is both (i) not material and (ii) of the type that the Registrant treats as private and confidential.</w:t>
      </w:r>
    </w:p>
    <w:p>
      <w:pPr>
        <w:pStyle w:val="TextBody"/>
        <w:bidi w:val="0"/>
        <w:jc w:val="left"/>
        <w:rPr/>
      </w:pPr>
      <w:r>
        <w:rPr/>
        <w:t> </w:t>
      </w:r>
    </w:p>
    <w:p>
      <w:pPr>
        <w:pStyle w:val="TextBody"/>
        <w:bidi w:val="0"/>
        <w:jc w:val="left"/>
        <w:rPr/>
      </w:pPr>
      <w:r>
        <w:rPr/>
        <w:t>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262" w:type="dxa"/>
        <w:jc w:val="left"/>
        <w:tblInd w:w="0" w:type="dxa"/>
        <w:tblLayout w:type="fixed"/>
        <w:tblCellMar>
          <w:top w:w="28" w:type="dxa"/>
          <w:left w:w="28" w:type="dxa"/>
          <w:bottom w:w="28" w:type="dxa"/>
          <w:right w:w="28" w:type="dxa"/>
        </w:tblCellMar>
      </w:tblPr>
      <w:tblGrid>
        <w:gridCol w:w="1951"/>
        <w:gridCol w:w="146"/>
        <w:gridCol w:w="436"/>
        <w:gridCol w:w="2729"/>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KYVERNA THERAPEUTICS,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2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Warner Biddle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Warner Biddle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Principal Executive Officer</w:t>
            </w:r>
            <w:r>
              <w:rPr>
                <w:rFonts w:ascii="Times New Roman" w:hAnsi="Times New Roman"/>
                <w:b/>
                <w:color w:val="000000"/>
                <w:sz w:val="20"/>
              </w:rPr>
              <w: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404" w:type="dxa"/>
        <w:jc w:val="left"/>
        <w:tblInd w:w="0" w:type="dxa"/>
        <w:tblLayout w:type="fixed"/>
        <w:tblCellMar>
          <w:top w:w="28" w:type="dxa"/>
          <w:left w:w="28" w:type="dxa"/>
          <w:bottom w:w="28" w:type="dxa"/>
          <w:right w:w="28" w:type="dxa"/>
        </w:tblCellMar>
      </w:tblPr>
      <w:tblGrid>
        <w:gridCol w:w="1951"/>
        <w:gridCol w:w="146"/>
        <w:gridCol w:w="406"/>
        <w:gridCol w:w="390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Gregory Martini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Gregory Martini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Principal Financial and Accounting Officer</w:t>
            </w:r>
            <w:r>
              <w:rPr>
                <w:rFonts w:ascii="Times New Roman" w:hAnsi="Times New Roman"/>
                <w:b/>
                <w:color w:val="000000"/>
                <w:sz w:val="20"/>
              </w:rPr>
              <w: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1" w:name="kytx-ex10_1.htm"/>
      <w:bookmarkStart w:id="22" w:name="kskytxex10_1"/>
      <w:bookmarkEnd w:id="21"/>
      <w:bookmarkEnd w:id="22"/>
      <w:r>
        <w:rPr>
          <w:rFonts w:ascii="Times New Roman" w:hAnsi="Times New Roman"/>
          <w:b/>
          <w:color w:val="000000"/>
          <w:sz w:val="22"/>
        </w:rPr>
        <w:t>Exhibit 10.1</w:t>
      </w:r>
      <w:r>
        <w:br w:type="page"/>
      </w:r>
    </w:p>
    <w:p>
      <w:pPr>
        <w:pStyle w:val="TextBody"/>
        <w:bidi w:val="0"/>
        <w:spacing w:before="0" w:after="240"/>
        <w:jc w:val="both"/>
        <w:rPr/>
      </w:pPr>
      <w:r>
        <w:rPr/>
        <w:drawing>
          <wp:inline distT="0" distB="0" distL="0" distR="0">
            <wp:extent cx="2066925"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2066925" cy="657225"/>
                    </a:xfrm>
                    <a:prstGeom prst="rect">
                      <a:avLst/>
                    </a:prstGeom>
                  </pic:spPr>
                </pic:pic>
              </a:graphicData>
            </a:graphic>
          </wp:inline>
        </w:drawing>
      </w:r>
    </w:p>
    <w:p>
      <w:pPr>
        <w:pStyle w:val="TextBody"/>
        <w:bidi w:val="0"/>
        <w:spacing w:before="0" w:after="240"/>
        <w:jc w:val="both"/>
        <w:rPr>
          <w:rFonts w:ascii="sans-serif" w:hAnsi="sans-serif"/>
          <w:color w:val="000000"/>
          <w:sz w:val="22"/>
        </w:rPr>
      </w:pPr>
      <w:r>
        <w:rPr>
          <w:rFonts w:ascii="sans-serif" w:hAnsi="sans-serif"/>
          <w:color w:val="000000"/>
          <w:sz w:val="22"/>
        </w:rPr>
        <w:br/>
        <w:t>April 13, 2026</w:t>
      </w:r>
    </w:p>
    <w:p>
      <w:pPr>
        <w:pStyle w:val="TextBody"/>
        <w:bidi w:val="0"/>
        <w:spacing w:before="0" w:after="240"/>
        <w:jc w:val="left"/>
        <w:rPr>
          <w:rFonts w:ascii="sans-serif" w:hAnsi="sans-serif"/>
          <w:color w:val="000000"/>
          <w:sz w:val="22"/>
        </w:rPr>
      </w:pPr>
      <w:r>
        <w:rPr>
          <w:rFonts w:ascii="sans-serif" w:hAnsi="sans-serif"/>
          <w:color w:val="000000"/>
          <w:sz w:val="22"/>
        </w:rPr>
        <w:t>Nadia Dac</w:t>
        <w:br/>
        <w:t>via email to [***.]</w:t>
      </w:r>
    </w:p>
    <w:p>
      <w:pPr>
        <w:pStyle w:val="TextBody"/>
        <w:bidi w:val="0"/>
        <w:spacing w:before="0" w:after="240"/>
        <w:jc w:val="both"/>
        <w:rPr>
          <w:rFonts w:ascii="Times New Roman" w:hAnsi="Times New Roman"/>
          <w:sz w:val="20"/>
        </w:rPr>
      </w:pPr>
      <w:r>
        <w:rPr>
          <w:rFonts w:ascii="sans-serif" w:hAnsi="sans-serif"/>
          <w:b/>
          <w:color w:val="000000"/>
          <w:sz w:val="22"/>
        </w:rPr>
        <w:t>Re:</w:t>
      </w:r>
      <w:r>
        <w:rPr>
          <w:rFonts w:ascii="Times New Roman" w:hAnsi="Times New Roman"/>
          <w:color w:val="000000"/>
          <w:sz w:val="20"/>
        </w:rPr>
        <w:t xml:space="preserve"> </w:t>
      </w:r>
      <w:r>
        <w:rPr>
          <w:rFonts w:ascii="sans-serif" w:hAnsi="sans-serif"/>
          <w:b/>
          <w:color w:val="000000"/>
          <w:sz w:val="22"/>
        </w:rPr>
        <w:t>Employment Terms</w:t>
      </w:r>
    </w:p>
    <w:p>
      <w:pPr>
        <w:pStyle w:val="TextBody"/>
        <w:bidi w:val="0"/>
        <w:spacing w:before="0" w:after="240"/>
        <w:jc w:val="left"/>
        <w:rPr>
          <w:rFonts w:ascii="sans-serif" w:hAnsi="sans-serif"/>
          <w:color w:val="000000"/>
          <w:sz w:val="22"/>
        </w:rPr>
      </w:pPr>
      <w:r>
        <w:rPr>
          <w:rFonts w:ascii="sans-serif" w:hAnsi="sans-serif"/>
          <w:color w:val="000000"/>
          <w:sz w:val="22"/>
        </w:rPr>
        <w:t>Dear Nadia:</w:t>
      </w:r>
    </w:p>
    <w:p>
      <w:pPr>
        <w:pStyle w:val="TextBody"/>
        <w:bidi w:val="0"/>
        <w:spacing w:before="0" w:after="240"/>
        <w:jc w:val="both"/>
        <w:rPr>
          <w:rFonts w:ascii="Times New Roman" w:hAnsi="Times New Roman"/>
          <w:sz w:val="20"/>
        </w:rPr>
      </w:pPr>
      <w:r>
        <w:rPr>
          <w:rFonts w:ascii="sans-serif" w:hAnsi="sans-serif"/>
          <w:color w:val="000000"/>
          <w:sz w:val="22"/>
        </w:rPr>
        <w:t>Kyverna Therapeutics, Inc. (the “</w:t>
      </w:r>
      <w:r>
        <w:rPr>
          <w:rFonts w:ascii="sans-serif" w:hAnsi="sans-serif"/>
          <w:b/>
          <w:i/>
          <w:color w:val="000000"/>
          <w:sz w:val="22"/>
        </w:rPr>
        <w:t>Company</w:t>
      </w:r>
      <w:r>
        <w:rPr>
          <w:rFonts w:ascii="Times New Roman" w:hAnsi="Times New Roman"/>
          <w:color w:val="000000"/>
          <w:sz w:val="20"/>
        </w:rPr>
        <w:t>”</w:t>
      </w:r>
      <w:r>
        <w:rPr>
          <w:rFonts w:ascii="sans-serif" w:hAnsi="sans-serif"/>
          <w:color w:val="000000"/>
          <w:sz w:val="22"/>
        </w:rPr>
        <w:t>) is pleased to offer you employment beginning on May 4, 2026 (the “</w:t>
      </w:r>
      <w:r>
        <w:rPr>
          <w:rFonts w:ascii="sans-serif" w:hAnsi="sans-serif"/>
          <w:b/>
          <w:i/>
          <w:color w:val="000000"/>
          <w:sz w:val="22"/>
        </w:rPr>
        <w:t>Start Date</w:t>
      </w:r>
      <w:r>
        <w:rPr>
          <w:rFonts w:ascii="Times New Roman" w:hAnsi="Times New Roman"/>
          <w:color w:val="000000"/>
          <w:sz w:val="20"/>
        </w:rPr>
        <w:t>”</w:t>
      </w:r>
      <w:r>
        <w:rPr>
          <w:rFonts w:ascii="sans-serif" w:hAnsi="sans-serif"/>
          <w:color w:val="000000"/>
          <w:sz w:val="22"/>
        </w:rPr>
        <w:t>); provided, however, if your employment does not commence on the Start Date, this letter shall be null and void and without force or effect.</w:t>
      </w:r>
    </w:p>
    <w:p>
      <w:pPr>
        <w:pStyle w:val="TextBody"/>
        <w:bidi w:val="0"/>
        <w:spacing w:before="0" w:after="240"/>
        <w:jc w:val="both"/>
        <w:rPr>
          <w:rFonts w:ascii="sans-serif" w:hAnsi="sans-serif"/>
          <w:b/>
          <w:color w:val="000000"/>
          <w:sz w:val="22"/>
        </w:rPr>
      </w:pPr>
      <w:r>
        <w:rPr>
          <w:rFonts w:ascii="sans-serif" w:hAnsi="sans-serif"/>
          <w:b/>
          <w:color w:val="000000"/>
          <w:sz w:val="22"/>
        </w:rPr>
        <w:t>Position</w:t>
      </w:r>
    </w:p>
    <w:p>
      <w:pPr>
        <w:pStyle w:val="TextBody"/>
        <w:bidi w:val="0"/>
        <w:spacing w:before="0" w:after="240"/>
        <w:jc w:val="both"/>
        <w:rPr>
          <w:rFonts w:ascii="Times New Roman" w:hAnsi="Times New Roman"/>
          <w:sz w:val="20"/>
        </w:rPr>
      </w:pPr>
      <w:r>
        <w:rPr>
          <w:rFonts w:ascii="sans-serif" w:hAnsi="sans-serif"/>
          <w:color w:val="000000"/>
          <w:sz w:val="22"/>
        </w:rPr>
        <w:t>Your position will be Chief Commercial Officer of the Company with responsibilities, duties, and authority as usual and customary for such position, reporting to the Company’s Chief Executive Officer and Executive Chairperson of the Board of Directors (the “</w:t>
      </w:r>
      <w:r>
        <w:rPr>
          <w:rFonts w:ascii="sans-serif" w:hAnsi="sans-serif"/>
          <w:b/>
          <w:i/>
          <w:color w:val="000000"/>
          <w:sz w:val="22"/>
        </w:rPr>
        <w:t>Board</w:t>
      </w:r>
      <w:r>
        <w:rPr>
          <w:rFonts w:ascii="Times New Roman" w:hAnsi="Times New Roman"/>
          <w:color w:val="000000"/>
          <w:sz w:val="20"/>
        </w:rPr>
        <w:t>”</w:t>
      </w:r>
      <w:r>
        <w:rPr>
          <w:rFonts w:ascii="sans-serif" w:hAnsi="sans-serif"/>
          <w:color w:val="000000"/>
          <w:sz w:val="22"/>
        </w:rPr>
        <w:t>). In this position, you will be permitted to work remotely, subject to reasonable business travel. The Company may change your position, duties, and work location from time to time in its discretion, subject to the severance protections outlined below.</w:t>
      </w:r>
    </w:p>
    <w:p>
      <w:pPr>
        <w:pStyle w:val="TextBody"/>
        <w:bidi w:val="0"/>
        <w:spacing w:before="0" w:after="240"/>
        <w:jc w:val="both"/>
        <w:rPr>
          <w:rFonts w:ascii="Times New Roman" w:hAnsi="Times New Roman"/>
          <w:sz w:val="20"/>
        </w:rPr>
      </w:pPr>
      <w:r>
        <w:rPr>
          <w:rFonts w:ascii="sans-serif" w:hAnsi="sans-serif"/>
          <w:color w:val="000000"/>
          <w:sz w:val="22"/>
        </w:rPr>
        <w:t>While you are employed by the Company, you will (i) devote your full business time, energy and skill to the performance of your duties for the Company and (ii) hold no other employment or consulting positions, unless you receive written consent from the Board in advance. Notwithstanding the foregoing, you shall be entitled to engage in (a) service on the board of directors of two for-profit companies, businesses or trade organizations, provided that you shall not serve on the board of any entity that competes with the Company, as determined by the Board, (b) service on the board of directors of not-for-profit organizations, (c) other charitable activities and community affairs, and (d) management of your personal and family investments and affairs, in each case to the extent such activities do not, either individually or in the aggregate, materially interfere with the performance of your duties and responsibilities to the Company.</w:t>
      </w:r>
      <w:r>
        <w:rPr>
          <w:rFonts w:ascii="Times New Roman" w:hAnsi="Times New Roman"/>
          <w:color w:val="000000"/>
          <w:sz w:val="20"/>
        </w:rPr>
        <w:t xml:space="preserve"> </w:t>
      </w:r>
    </w:p>
    <w:p>
      <w:pPr>
        <w:pStyle w:val="TextBody"/>
        <w:bidi w:val="0"/>
        <w:spacing w:before="0" w:after="240"/>
        <w:jc w:val="both"/>
        <w:rPr>
          <w:rFonts w:ascii="sans-serif" w:hAnsi="sans-serif"/>
          <w:b/>
          <w:color w:val="000000"/>
          <w:sz w:val="22"/>
        </w:rPr>
      </w:pPr>
      <w:r>
        <w:rPr>
          <w:rFonts w:ascii="sans-serif" w:hAnsi="sans-serif"/>
          <w:b/>
          <w:color w:val="000000"/>
          <w:sz w:val="22"/>
        </w:rPr>
        <w:t>Compensation and Benefits</w:t>
      </w:r>
    </w:p>
    <w:p>
      <w:pPr>
        <w:pStyle w:val="TextBody"/>
        <w:bidi w:val="0"/>
        <w:spacing w:before="0" w:after="240"/>
        <w:jc w:val="both"/>
        <w:rPr>
          <w:rFonts w:ascii="Times New Roman" w:hAnsi="Times New Roman"/>
          <w:sz w:val="20"/>
        </w:rPr>
      </w:pPr>
      <w:r>
        <w:rPr>
          <w:rFonts w:ascii="sans-serif" w:hAnsi="sans-serif"/>
          <w:color w:val="000000"/>
          <w:sz w:val="22"/>
        </w:rPr>
        <w:t>Your initial base salary will be paid at the rate of $520,000 per year, less payroll deductions and withholdings, paid on the Company’s normal payroll schedule (“</w:t>
      </w:r>
      <w:r>
        <w:rPr>
          <w:rFonts w:ascii="sans-serif" w:hAnsi="sans-serif"/>
          <w:b/>
          <w:i/>
          <w:color w:val="000000"/>
          <w:sz w:val="22"/>
        </w:rPr>
        <w:t>Base Salary</w:t>
      </w:r>
      <w:r>
        <w:rPr>
          <w:rFonts w:ascii="Times New Roman" w:hAnsi="Times New Roman"/>
          <w:color w:val="000000"/>
          <w:sz w:val="20"/>
        </w:rPr>
        <w:t>”</w:t>
      </w:r>
      <w:r>
        <w:rPr>
          <w:rFonts w:ascii="sans-serif" w:hAnsi="sans-serif"/>
          <w:color w:val="000000"/>
          <w:sz w:val="22"/>
        </w:rPr>
        <w:t>). The Compensation Committee of the Board (the “</w:t>
      </w:r>
      <w:r>
        <w:rPr>
          <w:rFonts w:ascii="sans-serif" w:hAnsi="sans-serif"/>
          <w:b/>
          <w:i/>
          <w:color w:val="000000"/>
          <w:sz w:val="22"/>
        </w:rPr>
        <w:t>Compensation Committee</w:t>
      </w:r>
      <w:r>
        <w:rPr>
          <w:rFonts w:ascii="Times New Roman" w:hAnsi="Times New Roman"/>
          <w:color w:val="000000"/>
          <w:sz w:val="20"/>
        </w:rPr>
        <w:t>”</w:t>
      </w:r>
      <w:r>
        <w:rPr>
          <w:rFonts w:ascii="sans-serif" w:hAnsi="sans-serif"/>
          <w:color w:val="000000"/>
          <w:sz w:val="22"/>
        </w:rPr>
        <w:t>) shall review your Base Salary not less than annually.</w:t>
      </w:r>
    </w:p>
    <w:p>
      <w:pPr>
        <w:pStyle w:val="TextBody"/>
        <w:bidi w:val="0"/>
        <w:spacing w:before="0" w:after="240"/>
        <w:jc w:val="both"/>
        <w:rPr/>
      </w:pPr>
      <w:r>
        <w:rPr/>
        <w:t> </w:t>
      </w:r>
    </w:p>
    <w:p>
      <w:pPr>
        <w:pStyle w:val="TextBody"/>
        <w:bidi w:val="0"/>
        <w:spacing w:before="0" w:after="240"/>
        <w:jc w:val="both"/>
        <w:rPr>
          <w:rFonts w:ascii="sans-serif" w:hAnsi="sans-serif"/>
          <w:i/>
          <w:color w:val="000000"/>
          <w:sz w:val="22"/>
        </w:rPr>
      </w:pPr>
      <w:r>
        <w:rPr>
          <w:rFonts w:ascii="sans-serif" w:hAnsi="sans-serif"/>
          <w:i/>
          <w:color w:val="000000"/>
          <w:sz w:val="22"/>
        </w:rPr>
        <w:t>Performance Bonus</w:t>
      </w:r>
    </w:p>
    <w:tbl>
      <w:tblPr>
        <w:tblW w:w="7848" w:type="dxa"/>
        <w:jc w:val="left"/>
        <w:tblInd w:w="0" w:type="dxa"/>
        <w:tblLayout w:type="fixed"/>
        <w:tblCellMar>
          <w:top w:w="28" w:type="dxa"/>
          <w:left w:w="28" w:type="dxa"/>
          <w:bottom w:w="28" w:type="dxa"/>
          <w:right w:w="28" w:type="dxa"/>
        </w:tblCellMar>
      </w:tblPr>
      <w:tblGrid>
        <w:gridCol w:w="2866"/>
        <w:gridCol w:w="2881"/>
        <w:gridCol w:w="2101"/>
      </w:tblGrid>
      <w:tr>
        <w:trPr/>
        <w:tc>
          <w:tcPr>
            <w:tcW w:w="286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12" w:space="0" w:color="72DE60"/>
            </w:tcBorders>
            <w:tcMar>
              <w:left w:w="0" w:type="dxa"/>
              <w:bottom w:w="0" w:type="dxa"/>
              <w:right w:w="0" w:type="dxa"/>
            </w:tcMar>
            <w:vAlign w:val="center"/>
          </w:tcPr>
          <w:p>
            <w:pPr>
              <w:pStyle w:val="TableContents"/>
              <w:bidi w:val="0"/>
              <w:spacing w:before="120" w:after="283"/>
              <w:jc w:val="left"/>
              <w:rPr>
                <w:rFonts w:ascii="sans-serif" w:hAnsi="sans-serif"/>
                <w:b/>
                <w:color w:val="72DE60"/>
                <w:sz w:val="18"/>
              </w:rPr>
            </w:pPr>
            <w:r>
              <w:rPr>
                <w:rFonts w:ascii="sans-serif" w:hAnsi="sans-serif"/>
                <w:b/>
                <w:color w:val="72DE60"/>
                <w:sz w:val="18"/>
              </w:rPr>
              <w:t>Kyverna Therapeutics, Inc.</w:t>
            </w:r>
          </w:p>
        </w:tc>
        <w:tc>
          <w:tcPr>
            <w:tcW w:w="2881" w:type="dxa"/>
            <w:tcBorders>
              <w:top w:val="single" w:sz="12" w:space="0" w:color="72DE60"/>
            </w:tcBorders>
            <w:tcMar>
              <w:left w:w="0" w:type="dxa"/>
              <w:bottom w:w="0" w:type="dxa"/>
              <w:right w:w="0" w:type="dxa"/>
            </w:tcMar>
            <w:vAlign w:val="center"/>
          </w:tcPr>
          <w:p>
            <w:pPr>
              <w:pStyle w:val="TableContents"/>
              <w:bidi w:val="0"/>
              <w:spacing w:before="120" w:after="283"/>
              <w:jc w:val="left"/>
              <w:rPr>
                <w:rFonts w:ascii="sans-serif" w:hAnsi="sans-serif"/>
                <w:color w:val="000000"/>
                <w:sz w:val="18"/>
              </w:rPr>
            </w:pPr>
            <w:r>
              <w:rPr>
                <w:rFonts w:ascii="sans-serif" w:hAnsi="sans-serif"/>
                <w:color w:val="000000"/>
                <w:sz w:val="18"/>
              </w:rPr>
              <w:t>5980 Horton Street, Suite 550</w:t>
              <w:br/>
              <w:t>Emeryville, CA 94608</w:t>
            </w:r>
          </w:p>
        </w:tc>
        <w:tc>
          <w:tcPr>
            <w:tcW w:w="2101" w:type="dxa"/>
            <w:tcBorders>
              <w:top w:val="single" w:sz="12" w:space="0" w:color="72DE60"/>
            </w:tcBorders>
            <w:tcMar>
              <w:left w:w="0" w:type="dxa"/>
              <w:bottom w:w="0" w:type="dxa"/>
              <w:right w:w="0" w:type="dxa"/>
            </w:tcMar>
            <w:vAlign w:val="center"/>
          </w:tcPr>
          <w:p>
            <w:pPr>
              <w:pStyle w:val="TableContents"/>
              <w:bidi w:val="0"/>
              <w:spacing w:before="120" w:after="283"/>
              <w:jc w:val="left"/>
              <w:rPr>
                <w:rFonts w:ascii="Times New Roman" w:hAnsi="Times New Roman"/>
                <w:sz w:val="18"/>
              </w:rPr>
            </w:pPr>
            <w:r>
              <w:rPr>
                <w:rFonts w:ascii="sans-serif" w:hAnsi="sans-serif"/>
                <w:sz w:val="18"/>
              </w:rPr>
              <w:t>hello@kyvernatx.com</w:t>
            </w:r>
            <w:r>
              <w:rPr>
                <w:rFonts w:ascii="sans-serif" w:hAnsi="sans-serif"/>
                <w:color w:val="000000"/>
                <w:sz w:val="18"/>
              </w:rPr>
              <w:br/>
              <w:t>kyvernatx.com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You will also be eligible for an incentive bonus for each fiscal year of the Company that you are employed. Whether you receive a bonus and the amount of any such bonus will be determined by the Compensation Committee in good‐faith based on criteria determined by the Compensation Committee in its discretion. Your target bonus will be equal to 40% of your annual Base Salary, although the actual amount of any such bonus may be more or less than such amount based on the determination of the Compensation Committee; provided that, for the initial calendar year of employment, you shall receive a pro-rated bonus, subject to your continued employment through payment. The Company will pay you your bonus for any one year no later than March 15th of the following calendar year, less payroll deductions and withholdings. The bonus is not earned until paid and no portion of the bonus will be paid if your employment terminates for any reason prior to the payment date.</w:t>
      </w:r>
    </w:p>
    <w:p>
      <w:pPr>
        <w:pStyle w:val="TextBody"/>
        <w:bidi w:val="0"/>
        <w:spacing w:before="0" w:after="240"/>
        <w:jc w:val="both"/>
        <w:rPr>
          <w:rFonts w:ascii="sans-serif" w:hAnsi="sans-serif"/>
          <w:i/>
          <w:color w:val="000000"/>
          <w:sz w:val="22"/>
        </w:rPr>
      </w:pPr>
      <w:r>
        <w:rPr>
          <w:rFonts w:ascii="sans-serif" w:hAnsi="sans-serif"/>
          <w:i/>
          <w:color w:val="000000"/>
          <w:sz w:val="22"/>
        </w:rPr>
        <w:t>Annual Equity Program</w:t>
      </w:r>
    </w:p>
    <w:p>
      <w:pPr>
        <w:pStyle w:val="TextBody"/>
        <w:bidi w:val="0"/>
        <w:spacing w:before="0" w:after="240"/>
        <w:jc w:val="both"/>
        <w:rPr>
          <w:rFonts w:ascii="sans-serif" w:hAnsi="sans-serif"/>
          <w:color w:val="000000"/>
          <w:sz w:val="22"/>
        </w:rPr>
      </w:pPr>
      <w:r>
        <w:rPr>
          <w:rFonts w:ascii="sans-serif" w:hAnsi="sans-serif"/>
          <w:color w:val="000000"/>
          <w:sz w:val="22"/>
        </w:rPr>
        <w:t>Subject to approval by the Board of Directors, you will be eligible to participate in the Company’s Annual Equity program which offers a portfolio approach of both Restricted Stock Units (RSUs) and Stock Options, in accordance with the following 2026 proration schedule based on hire date:</w:t>
      </w:r>
    </w:p>
    <w:tbl>
      <w:tblPr>
        <w:tblW w:w="2674" w:type="dxa"/>
        <w:jc w:val="left"/>
        <w:tblInd w:w="0" w:type="dxa"/>
        <w:tblLayout w:type="fixed"/>
        <w:tblCellMar>
          <w:top w:w="28" w:type="dxa"/>
          <w:left w:w="28" w:type="dxa"/>
          <w:bottom w:w="28" w:type="dxa"/>
          <w:right w:w="28" w:type="dxa"/>
        </w:tblCellMar>
      </w:tblPr>
      <w:tblGrid>
        <w:gridCol w:w="781"/>
        <w:gridCol w:w="616"/>
        <w:gridCol w:w="616"/>
        <w:gridCol w:w="661"/>
      </w:tblGrid>
      <w:tr>
        <w:trPr/>
        <w:tc>
          <w:tcPr>
            <w:tcW w:w="7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2674" w:type="dxa"/>
            <w:gridSpan w:val="4"/>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Hire Date</w:t>
            </w:r>
          </w:p>
        </w:tc>
      </w:tr>
      <w:tr>
        <w:trPr/>
        <w:tc>
          <w:tcPr>
            <w:tcW w:w="7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Q1</w:t>
            </w:r>
          </w:p>
        </w:tc>
        <w:tc>
          <w:tcPr>
            <w:tcW w:w="6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Q2</w:t>
            </w:r>
          </w:p>
        </w:tc>
        <w:tc>
          <w:tcPr>
            <w:tcW w:w="6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Q3</w:t>
            </w:r>
          </w:p>
        </w:tc>
        <w:tc>
          <w:tcPr>
            <w:tcW w:w="6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Q4</w:t>
            </w:r>
          </w:p>
        </w:tc>
      </w:tr>
      <w:tr>
        <w:trPr/>
        <w:tc>
          <w:tcPr>
            <w:tcW w:w="7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sans-serif" w:hAnsi="sans-serif"/>
                <w:i/>
                <w:color w:val="000000"/>
                <w:sz w:val="22"/>
              </w:rPr>
            </w:pPr>
            <w:r>
              <w:rPr>
                <w:rFonts w:ascii="sans-serif" w:hAnsi="sans-serif"/>
                <w:i/>
                <w:color w:val="000000"/>
                <w:sz w:val="22"/>
              </w:rPr>
              <w:t>100%</w:t>
            </w:r>
          </w:p>
        </w:tc>
        <w:tc>
          <w:tcPr>
            <w:tcW w:w="6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both"/>
              <w:rPr>
                <w:rFonts w:ascii="sans-serif" w:hAnsi="sans-serif"/>
                <w:i/>
                <w:color w:val="000000"/>
                <w:sz w:val="22"/>
              </w:rPr>
            </w:pPr>
            <w:r>
              <w:rPr>
                <w:rFonts w:ascii="sans-serif" w:hAnsi="sans-serif"/>
                <w:i/>
                <w:color w:val="000000"/>
                <w:sz w:val="22"/>
              </w:rPr>
              <w:t>75%</w:t>
            </w:r>
          </w:p>
        </w:tc>
        <w:tc>
          <w:tcPr>
            <w:tcW w:w="6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both"/>
              <w:rPr>
                <w:rFonts w:ascii="sans-serif" w:hAnsi="sans-serif"/>
                <w:i/>
                <w:color w:val="000000"/>
                <w:sz w:val="22"/>
              </w:rPr>
            </w:pPr>
            <w:r>
              <w:rPr>
                <w:rFonts w:ascii="sans-serif" w:hAnsi="sans-serif"/>
                <w:i/>
                <w:color w:val="000000"/>
                <w:sz w:val="22"/>
              </w:rPr>
              <w:t>50%</w:t>
            </w:r>
          </w:p>
        </w:tc>
        <w:tc>
          <w:tcPr>
            <w:tcW w:w="6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both"/>
              <w:rPr>
                <w:rFonts w:ascii="sans-serif" w:hAnsi="sans-serif"/>
                <w:i/>
                <w:color w:val="000000"/>
                <w:sz w:val="22"/>
              </w:rPr>
            </w:pPr>
            <w:r>
              <w:rPr>
                <w:rFonts w:ascii="sans-serif" w:hAnsi="sans-serif"/>
                <w:i/>
                <w:color w:val="000000"/>
                <w:sz w:val="22"/>
              </w:rPr>
              <w:t>50%</w:t>
            </w:r>
          </w:p>
        </w:tc>
      </w:tr>
    </w:tbl>
    <w:p>
      <w:pPr>
        <w:pStyle w:val="TextBody"/>
        <w:bidi w:val="0"/>
        <w:spacing w:before="120" w:after="240"/>
        <w:jc w:val="both"/>
        <w:rPr>
          <w:rFonts w:ascii="sans-serif" w:hAnsi="sans-serif"/>
          <w:i/>
          <w:color w:val="000000"/>
          <w:sz w:val="22"/>
        </w:rPr>
      </w:pPr>
      <w:r>
        <w:rPr>
          <w:rFonts w:ascii="sans-serif" w:hAnsi="sans-serif"/>
          <w:i/>
          <w:color w:val="000000"/>
          <w:sz w:val="22"/>
        </w:rPr>
        <w:t>Sign-on Bonus</w:t>
      </w:r>
    </w:p>
    <w:p>
      <w:pPr>
        <w:pStyle w:val="TextBody"/>
        <w:bidi w:val="0"/>
        <w:spacing w:before="0" w:after="240"/>
        <w:jc w:val="both"/>
        <w:rPr>
          <w:rFonts w:ascii="sans-serif" w:hAnsi="sans-serif"/>
          <w:color w:val="000000"/>
          <w:sz w:val="22"/>
        </w:rPr>
      </w:pPr>
      <w:r>
        <w:rPr>
          <w:rFonts w:ascii="sans-serif" w:hAnsi="sans-serif"/>
          <w:color w:val="000000"/>
          <w:sz w:val="22"/>
        </w:rPr>
        <w:t>You will be eligible to receive a sign-on bonus in the amount of $275,000, subject to applicable withholding, with $200,000 to be paid no later than the second regularly scheduled Company payroll date that occurs on or after the Start Date and the remaining $75,000 to be paid on the first anniversary of the Start Date, subject to your continued employment with the Company through and including that date; provided, however, solely for purposes of paying the remaining $75,000, in the event of the termination of your employment by the Company without Cause prior to the first anniversary of the Start Date, you shall be deemed to remain an employee of the Company (meaning the remaining $75,000 still will be paid on the first anniversary of the Start Date). In the event your employment terminates as a result of your voluntary resignation prior to the first anniversary of the Start Date, you agree to repay the $275,000 sign-on bonus.</w:t>
      </w:r>
    </w:p>
    <w:p>
      <w:pPr>
        <w:pStyle w:val="TextBody"/>
        <w:bidi w:val="0"/>
        <w:spacing w:before="0" w:after="240"/>
        <w:jc w:val="both"/>
        <w:rPr>
          <w:rFonts w:ascii="Times New Roman" w:hAnsi="Times New Roman"/>
          <w:sz w:val="20"/>
        </w:rPr>
      </w:pPr>
      <w:r>
        <w:rPr>
          <w:rFonts w:ascii="sans-serif" w:hAnsi="sans-serif"/>
          <w:color w:val="000000"/>
          <w:sz w:val="22"/>
        </w:rPr>
        <w:t>During your employment, you will be eligible to participate in the benefits plans offered to similarly situated employees of the Company, subject to the terms of the applicable plan and generally applicable Company policies. The Company currently offers its employees the following benefits: medical insurance coverage, dental, vision, disability, and life insurance, as well as other benefits for which you will be eligible effective on your date of hire. You also will be eligible to participate in the Company’s 401K plan. Our 401(k) plan has an automatic enrollment feature designed to help eligible employees save for retirement. The default rate of automatic enrollment is 4% pretax. Additional information is shared as part of your onboarding process as well as during your new hire orientation.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Currently, the Company has a flexible vacation policy for exempt employees. Vacation hours are not allotted or accrued, and there is no “unused” vacation time to be carried over from one year to the next nor paid out upon termination. Vacation time off can be taken as needed. The Company also provides pre-set paid holidays each year.</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A full description of current benefits is available for your review. The Company may change compensation and benefits from time to time in its discretion, subject to the severance protections outlined below.</w:t>
      </w:r>
    </w:p>
    <w:p>
      <w:pPr>
        <w:pStyle w:val="TextBody"/>
        <w:bidi w:val="0"/>
        <w:spacing w:before="0" w:after="240"/>
        <w:jc w:val="both"/>
        <w:rPr>
          <w:rFonts w:ascii="Times New Roman" w:hAnsi="Times New Roman"/>
          <w:sz w:val="20"/>
        </w:rPr>
      </w:pPr>
      <w:r>
        <w:rPr>
          <w:rFonts w:ascii="sans-serif" w:hAnsi="sans-serif"/>
          <w:color w:val="000000"/>
          <w:sz w:val="22"/>
        </w:rPr>
        <w:t>The Company will reimburse all reasonable business expenses that are documented by you and incurred in the ordinary course of business in accordance with the Company’s standard policies and procedures.</w:t>
      </w:r>
      <w:r>
        <w:rPr>
          <w:rFonts w:ascii="Times New Roman" w:hAnsi="Times New Roman"/>
          <w:color w:val="000000"/>
          <w:sz w:val="20"/>
        </w:rPr>
        <w:t xml:space="preserve"> </w:t>
      </w:r>
    </w:p>
    <w:p>
      <w:pPr>
        <w:pStyle w:val="TextBody"/>
        <w:bidi w:val="0"/>
        <w:spacing w:before="0" w:after="240"/>
        <w:jc w:val="both"/>
        <w:rPr>
          <w:rFonts w:ascii="sans-serif" w:hAnsi="sans-serif"/>
          <w:i/>
          <w:color w:val="000000"/>
          <w:sz w:val="22"/>
        </w:rPr>
      </w:pPr>
      <w:r>
        <w:rPr>
          <w:rFonts w:ascii="sans-serif" w:hAnsi="sans-serif"/>
          <w:i/>
          <w:color w:val="000000"/>
          <w:sz w:val="22"/>
        </w:rPr>
        <w:t>Equity</w:t>
      </w:r>
    </w:p>
    <w:p>
      <w:pPr>
        <w:pStyle w:val="TextBody"/>
        <w:bidi w:val="0"/>
        <w:spacing w:before="0" w:after="240"/>
        <w:jc w:val="both"/>
        <w:rPr>
          <w:rFonts w:ascii="Times New Roman" w:hAnsi="Times New Roman"/>
          <w:sz w:val="20"/>
        </w:rPr>
      </w:pPr>
      <w:r>
        <w:rPr>
          <w:rFonts w:ascii="sans-serif" w:hAnsi="sans-serif"/>
          <w:color w:val="000000"/>
          <w:sz w:val="22"/>
        </w:rPr>
        <w:t>As soon as practicable following your Start Date, the Company will grant you a nonstatutory option to purchase 300,000 shares of the Company’s common stock, with an exercise price equal to the closing price of the Company’s common stock on the date of grant (the “</w:t>
      </w:r>
      <w:r>
        <w:rPr>
          <w:rFonts w:ascii="sans-serif" w:hAnsi="sans-serif"/>
          <w:b/>
          <w:i/>
          <w:color w:val="000000"/>
          <w:sz w:val="22"/>
        </w:rPr>
        <w:t>Option</w:t>
      </w:r>
      <w:r>
        <w:rPr>
          <w:rFonts w:ascii="Times New Roman" w:hAnsi="Times New Roman"/>
          <w:color w:val="000000"/>
          <w:sz w:val="20"/>
        </w:rPr>
        <w:t>”</w:t>
      </w:r>
      <w:r>
        <w:rPr>
          <w:rFonts w:ascii="sans-serif" w:hAnsi="sans-serif"/>
          <w:color w:val="000000"/>
          <w:sz w:val="22"/>
        </w:rPr>
        <w:t>). The Option will be granted pursuant to, and governed by, the Company’s Amended and Restated 2024 Inducement Equity Incentive Plan (the “</w:t>
      </w:r>
      <w:r>
        <w:rPr>
          <w:rFonts w:ascii="sans-serif" w:hAnsi="sans-serif"/>
          <w:b/>
          <w:i/>
          <w:color w:val="000000"/>
          <w:sz w:val="22"/>
        </w:rPr>
        <w:t>Plan</w:t>
      </w:r>
      <w:r>
        <w:rPr>
          <w:rFonts w:ascii="Times New Roman" w:hAnsi="Times New Roman"/>
          <w:color w:val="000000"/>
          <w:sz w:val="20"/>
        </w:rPr>
        <w:t>”</w:t>
      </w:r>
      <w:r>
        <w:rPr>
          <w:rFonts w:ascii="sans-serif" w:hAnsi="sans-serif"/>
          <w:color w:val="000000"/>
          <w:sz w:val="22"/>
        </w:rPr>
        <w:t>) and the standard form of option agreement used pursuant to the Plan. The Option will vest with respect to 25% of the Option shares on the 12‐month anniversary of your Start Date, and as to the balance in equal monthly installments over the next 36 months, subject to your Continuous Service (as defined in the Plan) as of each such date but with the vesting acceleration set forth in the Severance section below. In addition, with respect to each calendar year during your employment with the Company following the year in which the Start Date occurs, you shall be eligible to receive annual equity awards under the Plan or any successor plan, as determined by the Board in its sole discretion.</w:t>
      </w:r>
      <w:r>
        <w:rPr>
          <w:rFonts w:ascii="Times New Roman" w:hAnsi="Times New Roman"/>
          <w:color w:val="000000"/>
          <w:sz w:val="20"/>
        </w:rPr>
        <w:t xml:space="preserve"> </w:t>
      </w:r>
    </w:p>
    <w:p>
      <w:pPr>
        <w:pStyle w:val="TextBody"/>
        <w:bidi w:val="0"/>
        <w:spacing w:before="0" w:after="240"/>
        <w:jc w:val="both"/>
        <w:rPr>
          <w:rFonts w:ascii="sans-serif" w:hAnsi="sans-serif"/>
          <w:b/>
          <w:color w:val="000000"/>
          <w:sz w:val="22"/>
        </w:rPr>
      </w:pPr>
      <w:r>
        <w:rPr>
          <w:rFonts w:ascii="sans-serif" w:hAnsi="sans-serif"/>
          <w:b/>
          <w:color w:val="000000"/>
          <w:sz w:val="22"/>
        </w:rPr>
        <w:t>Confidential Information and Company Policies</w:t>
      </w:r>
    </w:p>
    <w:p>
      <w:pPr>
        <w:pStyle w:val="TextBody"/>
        <w:bidi w:val="0"/>
        <w:spacing w:before="0" w:after="240"/>
        <w:jc w:val="both"/>
        <w:rPr>
          <w:rFonts w:ascii="Times New Roman" w:hAnsi="Times New Roman"/>
          <w:sz w:val="20"/>
        </w:rPr>
      </w:pPr>
      <w:r>
        <w:rPr>
          <w:rFonts w:ascii="sans-serif" w:hAnsi="sans-serif"/>
          <w:color w:val="000000"/>
          <w:sz w:val="22"/>
        </w:rPr>
        <w:t xml:space="preserve">As a Company employee, you will be expected to abide by Company rules and policies. As a condition of employment, you must sign and comply with the Employee Confidential Information and Inventions Assignment Agreement, in the form attached hereto as </w:t>
      </w:r>
      <w:r>
        <w:rPr>
          <w:rFonts w:ascii="sans-serif" w:hAnsi="sans-serif"/>
          <w:color w:val="000000"/>
          <w:sz w:val="22"/>
          <w:u w:val="single"/>
        </w:rPr>
        <w:t>Exhibit B</w:t>
      </w:r>
      <w:r>
        <w:rPr>
          <w:rFonts w:ascii="sans-serif" w:hAnsi="sans-serif"/>
          <w:color w:val="000000"/>
          <w:sz w:val="22"/>
        </w:rPr>
        <w:t>, which prohibits unauthorized use or disclosure of the Company’s proprietary information, among other obligations.</w:t>
      </w:r>
    </w:p>
    <w:p>
      <w:pPr>
        <w:pStyle w:val="TextBody"/>
        <w:bidi w:val="0"/>
        <w:spacing w:before="0" w:after="240"/>
        <w:jc w:val="both"/>
        <w:rPr>
          <w:rFonts w:ascii="sans-serif" w:hAnsi="sans-serif"/>
          <w:color w:val="000000"/>
          <w:sz w:val="22"/>
        </w:rPr>
      </w:pPr>
      <w:r>
        <w:rPr>
          <w:rFonts w:ascii="sans-serif" w:hAnsi="sans-serif"/>
          <w:color w:val="000000"/>
          <w:sz w:val="22"/>
        </w:rPr>
        <w:t>By signing this letter, you are representing that you have full authority to accept this position and perform the duties of the position without conflict with any other obligations and that you are not involved in any situation that might create, or appear to create, a conflict of interest with respect to your loyalty or duties to the Company. You specifically warrant that you are not subject to an employment agreement or restrictive covenant preventing full performance of your duties to the Company.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w:t>
      </w:r>
    </w:p>
    <w:p>
      <w:pPr>
        <w:pStyle w:val="TextBody"/>
        <w:bidi w:val="0"/>
        <w:spacing w:before="0" w:after="240"/>
        <w:jc w:val="both"/>
        <w:rPr>
          <w:rFonts w:ascii="sans-serif" w:hAnsi="sans-serif"/>
          <w:b/>
          <w:color w:val="000000"/>
          <w:sz w:val="22"/>
        </w:rPr>
      </w:pPr>
      <w:r>
        <w:rPr>
          <w:rFonts w:ascii="sans-serif" w:hAnsi="sans-serif"/>
          <w:b/>
          <w:color w:val="000000"/>
          <w:sz w:val="22"/>
        </w:rPr>
        <w:t>At‐Will Employment and Exempt Status</w:t>
      </w:r>
    </w:p>
    <w:p>
      <w:pPr>
        <w:pStyle w:val="TextBody"/>
        <w:bidi w:val="0"/>
        <w:spacing w:before="0" w:after="240"/>
        <w:jc w:val="both"/>
        <w:rPr>
          <w:rFonts w:ascii="sans-serif" w:hAnsi="sans-serif"/>
          <w:color w:val="000000"/>
          <w:sz w:val="22"/>
        </w:rPr>
      </w:pPr>
      <w:r>
        <w:rPr>
          <w:rFonts w:ascii="sans-serif" w:hAnsi="sans-serif"/>
          <w:color w:val="000000"/>
          <w:sz w:val="22"/>
        </w:rPr>
        <w:t>Your employment with the Company will be “at‐will.” You may terminate your employment with the Company at any time and for any reason whatsoever simply by notifying the Company. Likewise, the Company may terminate your employment at any time, with or without cause or advance notice. Your employment at‐will status can only be modified in a written agreement signed by you and by an officer of the Company. You agree that, unless you and the Company agree otherwise, the termination of your employment shall be treated as your resignation from all positions you hold with the Company and its affiliates, and you agree to execute any letter of resignation consistent with the foregoing that the Company reasonably requests.</w:t>
      </w:r>
    </w:p>
    <w:p>
      <w:pPr>
        <w:pStyle w:val="TextBody"/>
        <w:bidi w:val="0"/>
        <w:jc w:val="center"/>
        <w:rPr>
          <w:rFonts w:ascii="sans-serif" w:hAnsi="sans-serif"/>
          <w:color w:val="000000"/>
          <w:sz w:val="22"/>
        </w:rPr>
      </w:pPr>
      <w:r>
        <w:rPr>
          <w:rFonts w:ascii="sans-serif" w:hAnsi="sans-serif"/>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As a full‐time exempt salaried employee, you will be expected to work the Company’s normal business hours as well as additional hours as required by the nature of your work assignments, and you will not be entitled to overtime compensation.</w:t>
      </w:r>
    </w:p>
    <w:p>
      <w:pPr>
        <w:pStyle w:val="TextBody"/>
        <w:bidi w:val="0"/>
        <w:spacing w:before="0" w:after="240"/>
        <w:jc w:val="both"/>
        <w:rPr>
          <w:rFonts w:ascii="sans-serif" w:hAnsi="sans-serif"/>
          <w:b/>
          <w:color w:val="000000"/>
          <w:sz w:val="22"/>
        </w:rPr>
      </w:pPr>
      <w:r>
        <w:rPr>
          <w:rFonts w:ascii="sans-serif" w:hAnsi="sans-serif"/>
          <w:b/>
          <w:color w:val="000000"/>
          <w:sz w:val="22"/>
        </w:rPr>
        <w:t>Severance</w:t>
      </w:r>
    </w:p>
    <w:p>
      <w:pPr>
        <w:pStyle w:val="TextBody"/>
        <w:bidi w:val="0"/>
        <w:spacing w:before="0" w:after="240"/>
        <w:jc w:val="both"/>
        <w:rPr>
          <w:rFonts w:ascii="sans-serif" w:hAnsi="sans-serif"/>
          <w:color w:val="000000"/>
          <w:sz w:val="22"/>
        </w:rPr>
      </w:pPr>
      <w:r>
        <w:rPr>
          <w:rFonts w:ascii="sans-serif" w:hAnsi="sans-serif"/>
          <w:color w:val="000000"/>
          <w:sz w:val="22"/>
        </w:rPr>
        <w:t>If, at any time, the Company terminates your employment for Cause, or if you resign without Good Reason, or your employment terminates as a result of your death or disability, you will receive your Base Salary accrued through the last day of your employment. Under these circumstances, you will not be entitled to any other form of compensation from the Company, including severance benefits.</w:t>
      </w:r>
    </w:p>
    <w:p>
      <w:pPr>
        <w:pStyle w:val="TextBody"/>
        <w:bidi w:val="0"/>
        <w:spacing w:before="0" w:after="240"/>
        <w:jc w:val="both"/>
        <w:rPr>
          <w:rFonts w:ascii="Times New Roman" w:hAnsi="Times New Roman"/>
          <w:sz w:val="20"/>
        </w:rPr>
      </w:pPr>
      <w:r>
        <w:rPr>
          <w:rFonts w:ascii="sans-serif" w:hAnsi="sans-serif"/>
          <w:color w:val="000000"/>
          <w:sz w:val="22"/>
        </w:rPr>
        <w:t>If the Company terminates your employment without Cause, or you resign for Good Reason, and other than as a result of your death or disability, and provided such termination constitutes a “separation from service” (as defined under Treasury Regulation Section 1.409A‐1(h), without regard to any alternative definition thereunder, a “</w:t>
      </w:r>
      <w:r>
        <w:rPr>
          <w:rFonts w:ascii="sans-serif" w:hAnsi="sans-serif"/>
          <w:b/>
          <w:i/>
          <w:color w:val="000000"/>
          <w:sz w:val="22"/>
        </w:rPr>
        <w:t>Separation from Service</w:t>
      </w:r>
      <w:r>
        <w:rPr>
          <w:rFonts w:ascii="Times New Roman" w:hAnsi="Times New Roman"/>
          <w:color w:val="000000"/>
          <w:sz w:val="20"/>
        </w:rPr>
        <w:t>”</w:t>
      </w:r>
      <w:r>
        <w:rPr>
          <w:rFonts w:ascii="sans-serif" w:hAnsi="sans-serif"/>
          <w:color w:val="000000"/>
          <w:sz w:val="22"/>
        </w:rPr>
        <w:t>), then subject to your obligations below, you shall be entitled to receive the following severance benefits:</w:t>
      </w:r>
    </w:p>
    <w:p>
      <w:pPr>
        <w:pStyle w:val="TextBody"/>
        <w:bidi w:val="0"/>
        <w:spacing w:before="0" w:after="240"/>
        <w:jc w:val="left"/>
        <w:rPr>
          <w:rFonts w:ascii="sans-serif" w:hAnsi="sans-serif"/>
          <w:color w:val="000000"/>
          <w:sz w:val="22"/>
        </w:rPr>
      </w:pPr>
      <w:r>
        <w:rPr>
          <w:rFonts w:ascii="sans-serif" w:hAnsi="sans-serif"/>
          <w:color w:val="000000"/>
          <w:sz w:val="22"/>
        </w:rPr>
        <w:t>1.</w:t>
      </w:r>
    </w:p>
    <w:p>
      <w:pPr>
        <w:pStyle w:val="TextBody"/>
        <w:bidi w:val="0"/>
        <w:spacing w:before="0" w:after="240"/>
        <w:jc w:val="left"/>
        <w:rPr>
          <w:rFonts w:ascii="sans-serif" w:hAnsi="sans-serif"/>
          <w:color w:val="000000"/>
          <w:sz w:val="22"/>
        </w:rPr>
      </w:pPr>
      <w:r>
        <w:rPr>
          <w:rFonts w:ascii="sans-serif" w:hAnsi="sans-serif"/>
          <w:color w:val="000000"/>
          <w:sz w:val="22"/>
        </w:rPr>
        <w:t>an amount equal to 12 months of your then‐current Base Salary, less all applicable withholdings and deductions, paid over such 12‐month period. This amount will be paid in equal installments on the Company’s regular payroll schedule and will be subject to applicable tax withholdings over the period following the date of your termination date; provided, however, that no payments will be made prior to the 60th day following your Separation from Service. On the 60th day following your Separation from Service, the Company will pay you in a lump sum the severance benefits that you would have received on or prior to such date under the original schedule but for the delay while waiting for the 60th day in compliance with Code Section 409A and the effectiveness of the Release (as defined herein), with the balance to be paid as originally scheduled; and</w:t>
      </w:r>
    </w:p>
    <w:p>
      <w:pPr>
        <w:pStyle w:val="TextBody"/>
        <w:bidi w:val="0"/>
        <w:spacing w:before="0" w:after="240"/>
        <w:jc w:val="left"/>
        <w:rPr>
          <w:rFonts w:ascii="sans-serif" w:hAnsi="sans-serif"/>
          <w:color w:val="000000"/>
          <w:sz w:val="22"/>
        </w:rPr>
      </w:pPr>
      <w:r>
        <w:rPr>
          <w:rFonts w:ascii="sans-serif" w:hAnsi="sans-serif"/>
          <w:color w:val="000000"/>
          <w:sz w:val="22"/>
        </w:rPr>
        <w:t>2.</w:t>
      </w:r>
    </w:p>
    <w:p>
      <w:pPr>
        <w:pStyle w:val="TextBody"/>
        <w:bidi w:val="0"/>
        <w:spacing w:before="0" w:after="240"/>
        <w:jc w:val="left"/>
        <w:rPr/>
      </w:pPr>
      <w:r>
        <w:rPr>
          <w:rFonts w:ascii="sans-serif" w:hAnsi="sans-serif"/>
          <w:color w:val="000000"/>
          <w:sz w:val="22"/>
        </w:rPr>
        <w:t>if you timely elect continued coverage under the Consolidated Omnibus Budget Reconciliation Act of 1985, as amended (</w:t>
      </w:r>
      <w:r>
        <w:rPr>
          <w:color w:val="000000"/>
        </w:rPr>
        <w:t>“</w:t>
      </w:r>
      <w:r>
        <w:rPr>
          <w:rFonts w:ascii="sans-serif" w:hAnsi="sans-serif"/>
          <w:b/>
          <w:i/>
          <w:color w:val="000000"/>
          <w:sz w:val="22"/>
        </w:rPr>
        <w:t>COBRA”</w:t>
      </w:r>
      <w:r>
        <w:rPr>
          <w:rFonts w:ascii="sans-serif" w:hAnsi="sans-serif"/>
          <w:color w:val="000000"/>
          <w:sz w:val="22"/>
        </w:rPr>
        <w:t>), then the Company shall pay the entire COBRA premiums necessary to continue your health insurance coverage in effect for yourself and your eligible dependents on the termination date until the earliest of (A) the close of the 12‐month period following the termination of your employment, (B) the expiration of your eligibility for the continuation coverage under COBRA, and (C) the date when you become eligible for substantially equivalent health insurance coverage in connection with new employment.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w:t>
      </w:r>
    </w:p>
    <w:p>
      <w:pPr>
        <w:pStyle w:val="TextBody"/>
        <w:bidi w:val="0"/>
        <w:spacing w:before="0" w:after="240"/>
        <w:jc w:val="both"/>
        <w:rPr>
          <w:rFonts w:ascii="sans-serif" w:hAnsi="sans-serif"/>
          <w:color w:val="000000"/>
          <w:sz w:val="22"/>
        </w:rPr>
      </w:pPr>
      <w:r>
        <w:rPr>
          <w:rFonts w:ascii="sans-serif" w:hAnsi="sans-serif"/>
          <w:color w:val="000000"/>
          <w:sz w:val="22"/>
        </w:rPr>
        <w:t>Notwithstanding the foregoing, If the Separation from Service occurs within twelve (12) months following a Change in Control (as defined in the Company’s 2024 Equity Incentive Plan), then you shall instead be entitled to receive the following severance benefits:</w:t>
      </w:r>
    </w:p>
    <w:p>
      <w:pPr>
        <w:pStyle w:val="TextBody"/>
        <w:bidi w:val="0"/>
        <w:spacing w:before="0" w:after="240"/>
        <w:jc w:val="left"/>
        <w:rPr>
          <w:rFonts w:ascii="sans-serif" w:hAnsi="sans-serif"/>
          <w:color w:val="000000"/>
          <w:sz w:val="22"/>
        </w:rPr>
      </w:pPr>
      <w:r>
        <w:rPr>
          <w:rFonts w:ascii="sans-serif" w:hAnsi="sans-serif"/>
          <w:color w:val="000000"/>
          <w:sz w:val="22"/>
        </w:rPr>
        <w:t>1.</w:t>
      </w:r>
    </w:p>
    <w:p>
      <w:pPr>
        <w:pStyle w:val="TextBody"/>
        <w:bidi w:val="0"/>
        <w:spacing w:before="0" w:after="240"/>
        <w:jc w:val="left"/>
        <w:rPr>
          <w:rFonts w:ascii="sans-serif" w:hAnsi="sans-serif"/>
          <w:color w:val="000000"/>
          <w:sz w:val="22"/>
        </w:rPr>
      </w:pPr>
      <w:r>
        <w:rPr>
          <w:rFonts w:ascii="sans-serif" w:hAnsi="sans-serif"/>
          <w:color w:val="000000"/>
          <w:sz w:val="22"/>
        </w:rPr>
        <w:t xml:space="preserve">for a period of 15 months, an amount per month equal to 1/12th of the sum of (a) your then‐current Base Salary plus (b) your pro-rated bonus at target, less all applicable withholdings and deductions, paid over such 15‐month period. This amount will be paid in equal installments on the Company’s regular payroll schedule and will be subject to applicable tax withholdings over the period following the date of your termination date; provided, however, that no payments will be made prior to the 60th day following your Separation from </w:t>
      </w:r>
    </w:p>
    <w:p>
      <w:pPr>
        <w:pStyle w:val="TextBody"/>
        <w:bidi w:val="0"/>
        <w:jc w:val="center"/>
        <w:rPr>
          <w:rFonts w:ascii="sans-serif" w:hAnsi="sans-serif"/>
          <w:color w:val="000000"/>
          <w:sz w:val="22"/>
        </w:rPr>
      </w:pPr>
      <w:r>
        <w:rPr>
          <w:rFonts w:ascii="sans-serif" w:hAnsi="sans-serif"/>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sans-serif" w:hAnsi="sans-serif"/>
          <w:color w:val="000000"/>
          <w:sz w:val="22"/>
        </w:rPr>
      </w:pPr>
      <w:r>
        <w:rPr>
          <w:rFonts w:ascii="sans-serif" w:hAnsi="sans-serif"/>
          <w:color w:val="000000"/>
          <w:sz w:val="22"/>
        </w:rPr>
        <w:t>Service. On the 60th day following your Separation from Service, the Company will pay you in a lump sum the severance benefits that you would have received on or prior to such date under the original schedule but for the delay while waiting for the 60th day in compliance with Code Section 409A and the effectiveness of the Release (as defined herein), with the balance to be paid as originally scheduled; and</w:t>
      </w:r>
    </w:p>
    <w:p>
      <w:pPr>
        <w:pStyle w:val="TextBody"/>
        <w:bidi w:val="0"/>
        <w:spacing w:before="0" w:after="240"/>
        <w:jc w:val="left"/>
        <w:rPr>
          <w:rFonts w:ascii="sans-serif" w:hAnsi="sans-serif"/>
          <w:color w:val="000000"/>
          <w:sz w:val="22"/>
        </w:rPr>
      </w:pPr>
      <w:r>
        <w:rPr>
          <w:rFonts w:ascii="sans-serif" w:hAnsi="sans-serif"/>
          <w:color w:val="000000"/>
          <w:sz w:val="22"/>
        </w:rPr>
        <w:t>3.</w:t>
      </w:r>
    </w:p>
    <w:p>
      <w:pPr>
        <w:pStyle w:val="TextBody"/>
        <w:bidi w:val="0"/>
        <w:spacing w:before="0" w:after="240"/>
        <w:jc w:val="left"/>
        <w:rPr>
          <w:rFonts w:ascii="sans-serif" w:hAnsi="sans-serif"/>
          <w:color w:val="000000"/>
          <w:sz w:val="22"/>
        </w:rPr>
      </w:pPr>
      <w:r>
        <w:rPr>
          <w:rFonts w:ascii="sans-serif" w:hAnsi="sans-serif"/>
          <w:color w:val="000000"/>
          <w:sz w:val="22"/>
        </w:rPr>
        <w:t>if you timely elect continued coverage under COBRA, then the Company shall pay the entire COBRA premiums necessary to continue your health insurance coverage in effect for yourself and your eligible dependents on the termination date until the earliest of (A) the close of the 15‐month period following the termination of your employment, (B) the expiration of your eligibility for the continuation coverage under COBRA, and (C) the date when you become eligible for substantially equivalent health insurance coverage in connection with new employment.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w:t>
      </w:r>
    </w:p>
    <w:p>
      <w:pPr>
        <w:pStyle w:val="TextBody"/>
        <w:bidi w:val="0"/>
        <w:spacing w:before="0" w:after="240"/>
        <w:jc w:val="left"/>
        <w:rPr>
          <w:rFonts w:ascii="sans-serif" w:hAnsi="sans-serif"/>
          <w:color w:val="000000"/>
          <w:sz w:val="22"/>
        </w:rPr>
      </w:pPr>
      <w:r>
        <w:rPr>
          <w:rFonts w:ascii="sans-serif" w:hAnsi="sans-serif"/>
          <w:color w:val="000000"/>
          <w:sz w:val="22"/>
        </w:rPr>
        <w:t>4.</w:t>
      </w:r>
    </w:p>
    <w:p>
      <w:pPr>
        <w:pStyle w:val="TextBody"/>
        <w:bidi w:val="0"/>
        <w:spacing w:before="0" w:after="240"/>
        <w:jc w:val="left"/>
        <w:rPr>
          <w:rFonts w:ascii="sans-serif" w:hAnsi="sans-serif"/>
          <w:color w:val="000000"/>
          <w:sz w:val="22"/>
        </w:rPr>
      </w:pPr>
      <w:r>
        <w:rPr>
          <w:rFonts w:ascii="sans-serif" w:hAnsi="sans-serif"/>
          <w:color w:val="000000"/>
          <w:sz w:val="22"/>
        </w:rPr>
        <w:t>In addition, any service-based vesting requirements with respect to your then-outstanding Company stock options, restricted stock awards, and restricted stock unit awards, if any, shall be deemed fully satisfied and any performance-based vesting requirements with respect to such options and awards, if any and as applicable, shall be deemed satisfied at target.</w:t>
      </w:r>
    </w:p>
    <w:p>
      <w:pPr>
        <w:pStyle w:val="TextBody"/>
        <w:bidi w:val="0"/>
        <w:spacing w:before="0" w:after="240"/>
        <w:jc w:val="both"/>
        <w:rPr>
          <w:rFonts w:ascii="Times New Roman" w:hAnsi="Times New Roman"/>
          <w:sz w:val="20"/>
        </w:rPr>
      </w:pPr>
      <w:r>
        <w:rPr>
          <w:rFonts w:ascii="sans-serif" w:hAnsi="sans-serif"/>
          <w:color w:val="000000"/>
          <w:sz w:val="22"/>
        </w:rPr>
        <w:t xml:space="preserve">Your receipt of the severance benefits set forth herein is conditional upon (a) your continuing to comply with your obligations under your Employee Confidential Information and Invention Assignment Agreement; and (b) your delivering to the Company a general release of claims in favor of the Company and its affiliates in the form attached hereto as </w:t>
      </w:r>
      <w:r>
        <w:rPr>
          <w:rFonts w:ascii="sans-serif" w:hAnsi="sans-serif"/>
          <w:color w:val="000000"/>
          <w:sz w:val="22"/>
          <w:u w:val="single"/>
        </w:rPr>
        <w:t>Exhibit A</w:t>
      </w:r>
      <w:r>
        <w:rPr>
          <w:rFonts w:ascii="Times New Roman" w:hAnsi="Times New Roman"/>
          <w:color w:val="000000"/>
          <w:sz w:val="20"/>
        </w:rPr>
        <w:t xml:space="preserve"> </w:t>
      </w:r>
      <w:r>
        <w:rPr>
          <w:rFonts w:ascii="sans-serif" w:hAnsi="sans-serif"/>
          <w:color w:val="000000"/>
          <w:sz w:val="22"/>
        </w:rPr>
        <w:t>(but with any change the Company may reasonably request to reflect changes in applicable law) that becomes effective and irrevocable within 60 days following your termination date (the “</w:t>
      </w:r>
      <w:r>
        <w:rPr>
          <w:rFonts w:ascii="sans-serif" w:hAnsi="sans-serif"/>
          <w:b/>
          <w:i/>
          <w:color w:val="000000"/>
          <w:sz w:val="22"/>
        </w:rPr>
        <w:t>Release</w:t>
      </w:r>
      <w:r>
        <w:rPr>
          <w:rFonts w:ascii="Times New Roman" w:hAnsi="Times New Roman"/>
          <w:color w:val="000000"/>
          <w:sz w:val="20"/>
        </w:rPr>
        <w:t>”</w:t>
      </w:r>
      <w:r>
        <w:rPr>
          <w:rFonts w:ascii="sans-serif" w:hAnsi="sans-serif"/>
          <w:color w:val="000000"/>
          <w:sz w:val="22"/>
        </w:rPr>
        <w:t>).</w:t>
      </w:r>
    </w:p>
    <w:p>
      <w:pPr>
        <w:pStyle w:val="TextBody"/>
        <w:bidi w:val="0"/>
        <w:spacing w:before="0" w:after="240"/>
        <w:jc w:val="both"/>
        <w:rPr>
          <w:rFonts w:ascii="sans-serif" w:hAnsi="sans-serif"/>
          <w:b/>
          <w:color w:val="000000"/>
          <w:sz w:val="22"/>
        </w:rPr>
      </w:pPr>
      <w:r>
        <w:rPr>
          <w:rFonts w:ascii="sans-serif" w:hAnsi="sans-serif"/>
          <w:b/>
          <w:color w:val="000000"/>
          <w:sz w:val="22"/>
        </w:rPr>
        <w:t>Definitions</w:t>
      </w:r>
    </w:p>
    <w:p>
      <w:pPr>
        <w:pStyle w:val="TextBody"/>
        <w:bidi w:val="0"/>
        <w:spacing w:before="0" w:after="240"/>
        <w:jc w:val="both"/>
        <w:rPr>
          <w:rFonts w:ascii="Times New Roman" w:hAnsi="Times New Roman"/>
          <w:sz w:val="20"/>
        </w:rPr>
      </w:pPr>
      <w:r>
        <w:rPr>
          <w:rFonts w:ascii="sans-serif" w:hAnsi="sans-serif"/>
          <w:color w:val="000000"/>
          <w:sz w:val="22"/>
        </w:rPr>
        <w:t>For purposes of this Agreement, “</w:t>
      </w:r>
      <w:r>
        <w:rPr>
          <w:rFonts w:ascii="sans-serif" w:hAnsi="sans-serif"/>
          <w:b/>
          <w:i/>
          <w:color w:val="000000"/>
          <w:sz w:val="22"/>
        </w:rPr>
        <w:t>Cause</w:t>
      </w:r>
      <w:r>
        <w:rPr>
          <w:rFonts w:ascii="Times New Roman" w:hAnsi="Times New Roman"/>
          <w:color w:val="000000"/>
          <w:sz w:val="20"/>
        </w:rPr>
        <w:t xml:space="preserve">” </w:t>
      </w:r>
      <w:r>
        <w:rPr>
          <w:rFonts w:ascii="sans-serif" w:hAnsi="sans-serif"/>
          <w:color w:val="000000"/>
          <w:sz w:val="22"/>
        </w:rPr>
        <w:t>means (a) your material breach of any agreement between you and the Company which breach, if curable (as determined by the Board), is not cured within thirty (30) days after your receipt of written notice from the Board; (b) your material failure to comply with the Company’s written policies or rules which failure, if curable (as determined by the Board), is not cured within thirty (30) days after your receipt of written notice from the Board; (c) your conviction of, or your plea of “guilty” or “no contest” to, a felony; (d) your gross misconduct which is materially and demonstrably injurious to the Company; (e) your continuing failure to undertake good faith efforts to perform assigned duties that are consistent with your position (other than any such failure resulting from incapacity due to physical or mental illness) after receiving written notification of the failure from the Board and, if curable (as determined by the Board), a 30-day opportunity to cure such failure and a reasonable opportunity to present to the Board your position regarding any dispute relating to the existence of such failure; (f) your failure to cooperate in good faith with a governmental or internal investigation of the Company or its directors, officers or employees, if the Company has requested your cooperation; or (g) any intentional act that has a material detrimental effect on the Company’s reputation or business, unless such action was taken with the expectation that such action was in the Company’s best interests.</w:t>
      </w:r>
    </w:p>
    <w:p>
      <w:pPr>
        <w:pStyle w:val="TextBody"/>
        <w:bidi w:val="0"/>
        <w:jc w:val="center"/>
        <w:rPr>
          <w:rFonts w:ascii="sans-serif" w:hAnsi="sans-serif"/>
          <w:color w:val="000000"/>
          <w:sz w:val="22"/>
        </w:rPr>
      </w:pPr>
      <w:r>
        <w:rPr>
          <w:rFonts w:ascii="sans-serif" w:hAnsi="sans-serif"/>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sans-serif" w:hAnsi="sans-serif"/>
          <w:color w:val="000000"/>
          <w:sz w:val="22"/>
        </w:rPr>
        <w:t>For purposes of this Agreement, “</w:t>
      </w:r>
      <w:r>
        <w:rPr>
          <w:rFonts w:ascii="sans-serif" w:hAnsi="sans-serif"/>
          <w:b/>
          <w:i/>
          <w:color w:val="000000"/>
          <w:sz w:val="22"/>
        </w:rPr>
        <w:t>Good Reason</w:t>
      </w:r>
      <w:r>
        <w:rPr>
          <w:rFonts w:ascii="Times New Roman" w:hAnsi="Times New Roman"/>
          <w:color w:val="000000"/>
          <w:sz w:val="20"/>
        </w:rPr>
        <w:t xml:space="preserve">” </w:t>
      </w:r>
      <w:r>
        <w:rPr>
          <w:rFonts w:ascii="sans-serif" w:hAnsi="sans-serif"/>
          <w:color w:val="000000"/>
          <w:sz w:val="22"/>
        </w:rPr>
        <w:t xml:space="preserve">means that any of the following actions are taken by the Company without your consent: (a) a material reduction in your Base Salary (other than a reduction generally applicable to employees of the Company who are similarly situated with you), which, for this purpose, means a decrease by more than 10%; (b) a material diminution of your title, authority, duties, or responsibilities in effect immediately prior to the change; provided, however, that a reduction in your authority, duties or responsibilities solely by virtue of the Company undergoing a Change in Control and being made part of a larger entity or group of entities, such that you retain substantially similar or greater authority, duties and responsibilities with respect to the entity, division or business unit that constitutes the Company’s business following a Change in Control, shall not constitute Good Reason; (c) a requirement that you are no longer permitted to work remotely or a relocation of your principal work location that increases your one‐way commute by at least 50 miles; or (d) you being required to report to another person other than the Board or the Company’s Chief Executive Officer. To resign for Good Reason, all of the following requirements must be satisfied: (1) you must provide notice to the Company of your intent to assert Good Reason within 30 days of the initial existence of one or more of the conditions set forth in subclauses (a) through (d) above; (2) the Company will have 30 days (the </w:t>
      </w:r>
      <w:r>
        <w:rPr>
          <w:rFonts w:ascii="Times New Roman" w:hAnsi="Times New Roman"/>
          <w:color w:val="000000"/>
          <w:sz w:val="20"/>
        </w:rPr>
        <w:t>“</w:t>
      </w:r>
      <w:r>
        <w:rPr>
          <w:rFonts w:ascii="sans-serif" w:hAnsi="sans-serif"/>
          <w:b/>
          <w:i/>
          <w:color w:val="000000"/>
          <w:sz w:val="22"/>
        </w:rPr>
        <w:t>Company Cure Period”</w:t>
      </w:r>
      <w:r>
        <w:rPr>
          <w:rFonts w:ascii="sans-serif" w:hAnsi="sans-serif"/>
          <w:color w:val="000000"/>
          <w:sz w:val="22"/>
        </w:rPr>
        <w:t>) from the date of such notice to remedy the condition; and (3) your resignation must occur within 30 days after the expiration of the Company Cure Period.</w:t>
      </w:r>
    </w:p>
    <w:p>
      <w:pPr>
        <w:pStyle w:val="TextBody"/>
        <w:bidi w:val="0"/>
        <w:spacing w:before="0" w:after="240"/>
        <w:jc w:val="both"/>
        <w:rPr>
          <w:rFonts w:ascii="sans-serif" w:hAnsi="sans-serif"/>
          <w:b/>
          <w:color w:val="000000"/>
          <w:sz w:val="22"/>
        </w:rPr>
      </w:pPr>
      <w:r>
        <w:rPr>
          <w:rFonts w:ascii="sans-serif" w:hAnsi="sans-serif"/>
          <w:b/>
          <w:color w:val="000000"/>
          <w:sz w:val="22"/>
        </w:rPr>
        <w:t>Section 409A</w:t>
      </w:r>
    </w:p>
    <w:p>
      <w:pPr>
        <w:pStyle w:val="TextBody"/>
        <w:bidi w:val="0"/>
        <w:spacing w:before="0" w:after="240"/>
        <w:jc w:val="both"/>
        <w:rPr>
          <w:rFonts w:ascii="Times New Roman" w:hAnsi="Times New Roman"/>
          <w:sz w:val="20"/>
        </w:rPr>
      </w:pPr>
      <w:r>
        <w:rPr>
          <w:rFonts w:ascii="sans-serif" w:hAnsi="sans-serif"/>
          <w:color w:val="000000"/>
          <w:sz w:val="22"/>
        </w:rPr>
        <w:t>The payments and benefits under this Agreement are intended to qualify for exemptions from the application of Section 409A of the Internal Revenue Code (“</w:t>
      </w:r>
      <w:r>
        <w:rPr>
          <w:rFonts w:ascii="sans-serif" w:hAnsi="sans-serif"/>
          <w:b/>
          <w:i/>
          <w:color w:val="000000"/>
          <w:sz w:val="22"/>
        </w:rPr>
        <w:t>Section 409A</w:t>
      </w:r>
      <w:r>
        <w:rPr>
          <w:rFonts w:ascii="Times New Roman" w:hAnsi="Times New Roman"/>
          <w:color w:val="000000"/>
          <w:sz w:val="20"/>
        </w:rPr>
        <w:t>”</w:t>
      </w:r>
      <w:r>
        <w:rPr>
          <w:rFonts w:ascii="sans-serif" w:hAnsi="sans-serif"/>
          <w:color w:val="000000"/>
          <w:sz w:val="22"/>
        </w:rPr>
        <w:t>), and this Agreement will be construed to the greatest extent possible as consistent with those provisions, and to the extent not so exempt, this Agreement (and any definitions hereunder) will be construed in a manner that complies with Section 409A to the extent necessary to avoid adverse taxation under Section 409A. Notwithstanding anything to the contrary herein, to the extent required to comply with Section 409A, a termination of employment shall not be deemed to have occurred for purposes of any provision of this Agreement providing for the payment of amounts or benefits upon or following a termination of employment unless such termination is also a Separation from Service. Your right to receive any installment payments will be treated as a right to receive a series of separate payments and, accordingly, each installment payment shall at all times be considered a separate and distinct payment. Notwithstanding any provision to the contrary in this Agreement, if you are deemed by the Company at the time of your Separation from Service to be a “specified employee” for purposes of Section 409A,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Section 409A and the related adverse taxation under Section 409A, such payments shall not be provided to you prior to the earliest of (a) the expiration of the six‐month period measured from the date of Separation from Service, (b) the date of your death or (c) such earlier date as permitted under Section 409A without the imposition of adverse taxation. With respect to reimbursements or in‐kind benefits provided hereunder (or otherwise) that are not exempt from Section 409A, the following rules shall apply: (x) the amount of expenses eligible for reimbursement, or in‐kind benefits provided, during any one taxable year shall not affect the expenses eligible for reimbursement, or in‐kind benefit to be provided in any other taxable year, (y) in the case of any reimbursements of eligible expenses, reimbursement shall be made on or before the last day of the taxable year following the taxable year in which the expense was incurred, and (z) the right to reimbursement or in‐kind benefits shall not be subject to liquidation or exchange for another benefit.</w:t>
      </w:r>
    </w:p>
    <w:p>
      <w:pPr>
        <w:pStyle w:val="TextBody"/>
        <w:bidi w:val="0"/>
        <w:jc w:val="center"/>
        <w:rPr>
          <w:rFonts w:ascii="sans-serif" w:hAnsi="sans-serif"/>
          <w:color w:val="000000"/>
          <w:sz w:val="22"/>
        </w:rPr>
      </w:pPr>
      <w:r>
        <w:rPr>
          <w:rFonts w:ascii="sans-serif" w:hAnsi="sans-serif"/>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b/>
          <w:color w:val="000000"/>
          <w:sz w:val="22"/>
        </w:rPr>
      </w:pPr>
      <w:r>
        <w:rPr>
          <w:rFonts w:ascii="sans-serif" w:hAnsi="sans-serif"/>
          <w:b/>
          <w:color w:val="000000"/>
          <w:sz w:val="22"/>
        </w:rPr>
        <w:t>Conditions, Dispute Resolution, and Complete Agreement</w:t>
      </w:r>
    </w:p>
    <w:p>
      <w:pPr>
        <w:pStyle w:val="TextBody"/>
        <w:bidi w:val="0"/>
        <w:spacing w:before="0" w:after="240"/>
        <w:jc w:val="both"/>
        <w:rPr>
          <w:rFonts w:ascii="sans-serif" w:hAnsi="sans-serif"/>
          <w:color w:val="000000"/>
          <w:sz w:val="22"/>
        </w:rPr>
      </w:pPr>
      <w:r>
        <w:rPr>
          <w:rFonts w:ascii="sans-serif" w:hAnsi="sans-serif"/>
          <w:color w:val="000000"/>
          <w:sz w:val="22"/>
        </w:rPr>
        <w:t>This offer is contingent upon a satisfactory reference check and satisfactory proof of your right to work in the United States. Additionally, you are required to complete a background check, this offer is contingent upon satisfactory clearance of such background check. You agree to assist as needed and to complete any documentation at the Company’s request to meet these conditions.</w:t>
      </w:r>
    </w:p>
    <w:p>
      <w:pPr>
        <w:pStyle w:val="TextBody"/>
        <w:bidi w:val="0"/>
        <w:spacing w:before="0" w:after="240"/>
        <w:jc w:val="both"/>
        <w:rPr>
          <w:rFonts w:ascii="Times New Roman" w:hAnsi="Times New Roman"/>
          <w:sz w:val="20"/>
        </w:rPr>
      </w:pPr>
      <w:r>
        <w:rPr>
          <w:rFonts w:ascii="sans-serif" w:hAnsi="sans-serif"/>
          <w:color w:val="000000"/>
          <w:sz w:val="22"/>
        </w:rPr>
        <w:t xml:space="preserve">To ensure the rapid and economical resolution of disputes that may arise in connection with your employment with 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or its successor, under JAMS’ then applicable rules and procedures for employment disputes before a single arbitrator (available upon request and also currently available at </w:t>
      </w:r>
      <w:r>
        <w:rPr>
          <w:rFonts w:ascii="sans-serif" w:hAnsi="sans-serif"/>
          <w:color w:val="0563C1"/>
          <w:sz w:val="22"/>
          <w:u w:val="single"/>
        </w:rPr>
        <w:t>http://www.jamsadr.com/rules‐employment‐arbitration/</w:t>
      </w:r>
      <w:r>
        <w:rPr>
          <w:rFonts w:ascii="sans-serif" w:hAnsi="sans-serif"/>
          <w:color w:val="000000"/>
          <w:sz w:val="22"/>
        </w:rPr>
        <w:t xml:space="preserve">) at such location as you and the Company may mutually agree or, in the absence of any agreement, in San Francisco, California. </w:t>
      </w:r>
      <w:r>
        <w:rPr>
          <w:rFonts w:ascii="sans-serif" w:hAnsi="sans-serif"/>
          <w:b/>
          <w:color w:val="000000"/>
          <w:sz w:val="22"/>
        </w:rPr>
        <w:t>You acknowledge that by agreeing to this arbitration procedure, both you and the Company waive the right to resolve any such dispute through a trial by jury or judge or administrative proceeding</w:t>
      </w:r>
      <w:r>
        <w:rPr>
          <w:rFonts w:ascii="sans-serif" w:hAnsi="sans-serif"/>
          <w:color w:val="000000"/>
          <w:sz w:val="22"/>
        </w:rPr>
        <w:t>. In addition,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 otherwise invalid (collectively, the “</w:t>
      </w:r>
      <w:r>
        <w:rPr>
          <w:rFonts w:ascii="sans-serif" w:hAnsi="sans-serif"/>
          <w:b/>
          <w:i/>
          <w:color w:val="000000"/>
          <w:sz w:val="22"/>
        </w:rPr>
        <w:t>Excluded Claims</w:t>
      </w:r>
      <w:r>
        <w:rPr>
          <w:rFonts w:ascii="Times New Roman" w:hAnsi="Times New Roman"/>
          <w:color w:val="000000"/>
          <w:sz w:val="20"/>
        </w:rPr>
        <w:t>”</w:t>
      </w:r>
      <w:r>
        <w:rPr>
          <w:rFonts w:ascii="sans-serif" w:hAnsi="sans-serif"/>
          <w:color w:val="000000"/>
          <w:sz w:val="22"/>
        </w:rPr>
        <w:t>). In the event you intend to bring multiple claims, including one of the Excluded Claims listed above, the Excluded Claims may be filed with a court, while any other claims will remain subject to mandatory arbitration.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pStyle w:val="TextBody"/>
        <w:bidi w:val="0"/>
        <w:jc w:val="center"/>
        <w:rPr>
          <w:rFonts w:ascii="sans-serif" w:hAnsi="sans-serif"/>
          <w:color w:val="000000"/>
          <w:sz w:val="22"/>
        </w:rPr>
      </w:pPr>
      <w:r>
        <w:rPr>
          <w:rFonts w:ascii="sans-serif" w:hAnsi="sans-serif"/>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This letter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pStyle w:val="TextBody"/>
        <w:bidi w:val="0"/>
        <w:spacing w:before="0" w:after="240"/>
        <w:jc w:val="both"/>
        <w:rPr>
          <w:rFonts w:ascii="sans-serif" w:hAnsi="sans-serif"/>
          <w:color w:val="000000"/>
          <w:sz w:val="22"/>
        </w:rPr>
      </w:pPr>
      <w:r>
        <w:rPr>
          <w:rFonts w:ascii="sans-serif" w:hAnsi="sans-serif"/>
          <w:color w:val="000000"/>
          <w:sz w:val="22"/>
        </w:rPr>
        <w:t>This letter, together with your Employee Confidential Information and Inventions Assignment Agreement, forms the complete and exclusive statement of your employment agreement with the Company. It supersedes any other agreements or promises made to you by anyone, whether oral or written. Changes in your employment terms, other than those changes expressly reserved to the Company’s discretion in this letter, require a written modification signed by an officer of the Company.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and executed via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 and may be executed in any number of counterparts, each of which shall be deemed an original as against any party whose signature appears thereon, and all of which together shall constitute one and the same instrument.</w:t>
      </w:r>
    </w:p>
    <w:p>
      <w:pPr>
        <w:pStyle w:val="TextBody"/>
        <w:bidi w:val="0"/>
        <w:spacing w:before="0" w:after="240"/>
        <w:jc w:val="center"/>
        <w:rPr>
          <w:rFonts w:ascii="sans-serif" w:hAnsi="sans-serif"/>
          <w:color w:val="000000"/>
          <w:sz w:val="22"/>
        </w:rPr>
      </w:pPr>
      <w:r>
        <w:rPr>
          <w:rFonts w:ascii="sans-serif" w:hAnsi="sans-serif"/>
          <w:color w:val="000000"/>
          <w:sz w:val="22"/>
        </w:rPr>
        <w:t>[Signature page follows]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0" w:after="240"/>
        <w:jc w:val="both"/>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Please sign and date this letter, and the Employee Confidential Information and Inventions Assignment Agreement and return them to me by 5:00 p.m. Pacific time on April 20, 2026, if you wish to accept employment at the Company under the terms described above.</w:t>
      </w:r>
    </w:p>
    <w:p>
      <w:pPr>
        <w:pStyle w:val="TextBody"/>
        <w:bidi w:val="0"/>
        <w:spacing w:before="0" w:after="240"/>
        <w:jc w:val="both"/>
        <w:rPr>
          <w:rFonts w:ascii="sans-serif" w:hAnsi="sans-serif"/>
          <w:color w:val="000000"/>
          <w:sz w:val="22"/>
        </w:rPr>
      </w:pPr>
      <w:r>
        <w:rPr>
          <w:rFonts w:ascii="sans-serif" w:hAnsi="sans-serif"/>
          <w:color w:val="000000"/>
          <w:sz w:val="22"/>
        </w:rPr>
        <w:t>We look forward to your favorable reply and to a productive and enjoyable work relationship.</w:t>
      </w:r>
    </w:p>
    <w:p>
      <w:pPr>
        <w:pStyle w:val="TextBody"/>
        <w:bidi w:val="0"/>
        <w:jc w:val="left"/>
        <w:rPr>
          <w:rFonts w:ascii="Times New Roman" w:hAnsi="Times New Roman"/>
          <w:sz w:val="20"/>
        </w:rPr>
      </w:pPr>
      <w:r>
        <w:rPr>
          <w:rFonts w:ascii="sans-serif" w:hAnsi="sans-serif"/>
          <w:color w:val="000000"/>
          <w:sz w:val="22"/>
        </w:rPr>
        <w:t>Sincerely,</w:t>
        <w:br/>
        <w:br/>
      </w:r>
      <w:r>
        <w:rPr>
          <w:rFonts w:ascii="sans-serif" w:hAnsi="sans-serif"/>
          <w:color w:val="000000"/>
          <w:sz w:val="22"/>
          <w:u w:val="single"/>
        </w:rPr>
        <w:t xml:space="preserve">/s/ Warner Biddle </w:t>
      </w:r>
      <w:r>
        <w:rPr>
          <w:rFonts w:ascii="sans-serif" w:hAnsi="sans-serif"/>
          <w:color w:val="000000"/>
          <w:sz w:val="22"/>
        </w:rPr>
        <w:br/>
        <w:t>Warner Biddle</w:t>
        <w:br/>
        <w:t>Chief Executive Officer</w:t>
        <w:br/>
        <w:br/>
        <w:t>Understood and Accepted:</w:t>
      </w:r>
    </w:p>
    <w:tbl>
      <w:tblPr>
        <w:tblW w:w="3962" w:type="dxa"/>
        <w:jc w:val="left"/>
        <w:tblInd w:w="0" w:type="dxa"/>
        <w:tblLayout w:type="fixed"/>
        <w:tblCellMar>
          <w:top w:w="28" w:type="dxa"/>
          <w:left w:w="28" w:type="dxa"/>
          <w:bottom w:w="28" w:type="dxa"/>
          <w:right w:w="28" w:type="dxa"/>
        </w:tblCellMar>
      </w:tblPr>
      <w:tblGrid>
        <w:gridCol w:w="1696"/>
        <w:gridCol w:w="2266"/>
      </w:tblGrid>
      <w:tr>
        <w:trPr/>
        <w:tc>
          <w:tcPr>
            <w:tcW w:w="169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ind w:left="0" w:right="0" w:hanging="117"/>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40"/>
              <w:ind w:left="0" w:right="0" w:hanging="117"/>
              <w:jc w:val="left"/>
              <w:rPr>
                <w:rFonts w:ascii="Times New Roman" w:hAnsi="Times New Roman"/>
                <w:sz w:val="22"/>
              </w:rPr>
            </w:pPr>
            <w:r>
              <w:rPr>
                <w:rFonts w:ascii="sans-serif" w:hAnsi="sans-serif"/>
                <w:color w:val="000000"/>
                <w:sz w:val="22"/>
              </w:rPr>
              <w:br/>
              <w:br/>
            </w:r>
            <w:r>
              <w:rPr>
                <w:rFonts w:ascii="sans-serif" w:hAnsi="sans-serif"/>
                <w:color w:val="000000"/>
                <w:sz w:val="22"/>
                <w:u w:val="single"/>
              </w:rPr>
              <w:t xml:space="preserve">/s/ Nadia Dac </w:t>
            </w:r>
            <w:r>
              <w:rPr>
                <w:rFonts w:ascii="sans-serif" w:hAnsi="sans-serif"/>
                <w:color w:val="000000"/>
                <w:sz w:val="22"/>
              </w:rPr>
              <w:br/>
              <w:t>Nadia Dac</w:t>
            </w:r>
          </w:p>
        </w:tc>
        <w:tc>
          <w:tcPr>
            <w:tcW w:w="226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sans-serif" w:hAnsi="sans-serif"/>
                <w:color w:val="000000"/>
                <w:sz w:val="22"/>
              </w:rPr>
              <w:br/>
              <w:br/>
            </w:r>
            <w:r>
              <w:rPr>
                <w:rFonts w:ascii="sans-serif" w:hAnsi="sans-serif"/>
                <w:color w:val="000000"/>
                <w:sz w:val="22"/>
                <w:u w:val="single"/>
              </w:rPr>
              <w:t xml:space="preserve">4/13/2026 </w:t>
            </w:r>
            <w:r>
              <w:rPr>
                <w:rFonts w:ascii="Times New Roman" w:hAnsi="Times New Roman"/>
                <w:color w:val="000000"/>
                <w:sz w:val="22"/>
              </w:rPr>
              <w:t>              </w:t>
            </w:r>
            <w:r>
              <w:rPr>
                <w:rFonts w:ascii="sans-serif" w:hAnsi="sans-serif"/>
                <w:color w:val="000000"/>
                <w:sz w:val="22"/>
              </w:rPr>
              <w:br/>
              <w:t>Date</w:t>
            </w:r>
          </w:p>
        </w:tc>
      </w:tr>
    </w:tbl>
    <w:p>
      <w:pPr>
        <w:pStyle w:val="TextBody"/>
        <w:bidi w:val="0"/>
        <w:spacing w:before="0" w:after="240"/>
        <w:jc w:val="both"/>
        <w:rPr/>
      </w:pPr>
      <w:r>
        <w:rPr/>
        <w:t> </w:t>
      </w:r>
    </w:p>
    <w:p>
      <w:pPr>
        <w:pStyle w:val="TextBody"/>
        <w:bidi w:val="0"/>
        <w:jc w:val="center"/>
        <w:rPr>
          <w:rFonts w:ascii="sans-serif" w:hAnsi="sans-serif"/>
          <w:color w:val="000000"/>
          <w:sz w:val="22"/>
        </w:rPr>
      </w:pPr>
      <w:r>
        <w:rPr>
          <w:rFonts w:ascii="sans-serif" w:hAnsi="sans-serif"/>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Exhibit A</w:t>
      </w:r>
    </w:p>
    <w:p>
      <w:pPr>
        <w:pStyle w:val="TextBody"/>
        <w:bidi w:val="0"/>
        <w:jc w:val="center"/>
        <w:rPr/>
      </w:pPr>
      <w:r>
        <w:rPr/>
        <w:t> </w:t>
      </w:r>
    </w:p>
    <w:p>
      <w:pPr>
        <w:pStyle w:val="TextBody"/>
        <w:bidi w:val="0"/>
        <w:jc w:val="center"/>
        <w:rPr>
          <w:rFonts w:ascii="sans-serif" w:hAnsi="sans-serif"/>
          <w:color w:val="000000"/>
          <w:sz w:val="22"/>
        </w:rPr>
      </w:pPr>
      <w:r>
        <w:rPr>
          <w:rFonts w:ascii="sans-serif" w:hAnsi="sans-serif"/>
          <w:color w:val="000000"/>
          <w:sz w:val="22"/>
        </w:rPr>
        <w:t>Form of Release</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t> </w:t>
      </w:r>
    </w:p>
    <w:p>
      <w:pPr>
        <w:pStyle w:val="TextBody"/>
        <w:bidi w:val="0"/>
        <w:spacing w:before="0" w:after="240"/>
        <w:jc w:val="both"/>
        <w:rPr/>
      </w:pPr>
      <w:r>
        <w:rPr/>
        <w:drawing>
          <wp:inline distT="0" distB="0" distL="0" distR="0">
            <wp:extent cx="1676400" cy="523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1676400" cy="523875"/>
                    </a:xfrm>
                    <a:prstGeom prst="rect">
                      <a:avLst/>
                    </a:prstGeom>
                  </pic:spPr>
                </pic:pic>
              </a:graphicData>
            </a:graphic>
          </wp:inline>
        </w:drawing>
      </w:r>
    </w:p>
    <w:p>
      <w:pPr>
        <w:pStyle w:val="TextBody"/>
        <w:bidi w:val="0"/>
        <w:spacing w:before="0" w:after="240"/>
        <w:jc w:val="both"/>
        <w:rPr>
          <w:rFonts w:ascii="sans-serif" w:hAnsi="sans-serif"/>
          <w:color w:val="000000"/>
          <w:sz w:val="22"/>
        </w:rPr>
      </w:pPr>
      <w:r>
        <w:rPr>
          <w:rFonts w:ascii="sans-serif" w:hAnsi="sans-serif"/>
          <w:color w:val="000000"/>
          <w:sz w:val="22"/>
        </w:rPr>
        <w:t>[Date]</w:t>
      </w:r>
    </w:p>
    <w:p>
      <w:pPr>
        <w:pStyle w:val="TextBody"/>
        <w:bidi w:val="0"/>
        <w:spacing w:before="0" w:after="240"/>
        <w:jc w:val="both"/>
        <w:rPr>
          <w:rFonts w:ascii="sans-serif" w:hAnsi="sans-serif"/>
          <w:color w:val="000000"/>
          <w:sz w:val="22"/>
        </w:rPr>
      </w:pPr>
      <w:r>
        <w:rPr>
          <w:rFonts w:ascii="sans-serif" w:hAnsi="sans-serif"/>
          <w:color w:val="000000"/>
          <w:sz w:val="22"/>
        </w:rPr>
        <w:t>Nadia Dac</w:t>
      </w:r>
    </w:p>
    <w:p>
      <w:pPr>
        <w:pStyle w:val="TextBody"/>
        <w:bidi w:val="0"/>
        <w:spacing w:before="0" w:after="240"/>
        <w:jc w:val="both"/>
        <w:rPr>
          <w:rFonts w:ascii="sans-serif" w:hAnsi="sans-serif"/>
          <w:color w:val="000000"/>
          <w:sz w:val="22"/>
        </w:rPr>
      </w:pPr>
      <w:r>
        <w:rPr>
          <w:rFonts w:ascii="sans-serif" w:hAnsi="sans-serif"/>
          <w:color w:val="000000"/>
          <w:sz w:val="22"/>
        </w:rPr>
        <w:t>Via email</w:t>
      </w:r>
    </w:p>
    <w:p>
      <w:pPr>
        <w:pStyle w:val="TextBody"/>
        <w:bidi w:val="0"/>
        <w:spacing w:before="0" w:after="240"/>
        <w:jc w:val="both"/>
        <w:rPr>
          <w:rFonts w:ascii="sans-serif" w:hAnsi="sans-serif"/>
          <w:color w:val="000000"/>
          <w:sz w:val="22"/>
        </w:rPr>
      </w:pPr>
      <w:r>
        <w:rPr>
          <w:rFonts w:ascii="sans-serif" w:hAnsi="sans-serif"/>
          <w:color w:val="000000"/>
          <w:sz w:val="22"/>
        </w:rPr>
        <w:t>Dear Nadia:</w:t>
      </w:r>
    </w:p>
    <w:p>
      <w:pPr>
        <w:pStyle w:val="TextBody"/>
        <w:bidi w:val="0"/>
        <w:spacing w:before="0" w:after="240"/>
        <w:jc w:val="both"/>
        <w:rPr>
          <w:rFonts w:ascii="Times New Roman" w:hAnsi="Times New Roman"/>
          <w:sz w:val="20"/>
        </w:rPr>
      </w:pPr>
      <w:r>
        <w:rPr>
          <w:rFonts w:ascii="sans-serif" w:hAnsi="sans-serif"/>
          <w:color w:val="000000"/>
          <w:sz w:val="22"/>
        </w:rPr>
        <w:t>This letter sets forth the separation and general release agreement (the “</w:t>
      </w:r>
      <w:r>
        <w:rPr>
          <w:rFonts w:ascii="sans-serif" w:hAnsi="sans-serif"/>
          <w:b/>
          <w:color w:val="000000"/>
          <w:sz w:val="22"/>
        </w:rPr>
        <w:t>Agreement</w:t>
      </w:r>
      <w:r>
        <w:rPr>
          <w:rFonts w:ascii="Times New Roman" w:hAnsi="Times New Roman"/>
          <w:color w:val="000000"/>
          <w:sz w:val="20"/>
        </w:rPr>
        <w:t>”</w:t>
      </w:r>
      <w:r>
        <w:rPr>
          <w:rFonts w:ascii="sans-serif" w:hAnsi="sans-serif"/>
          <w:color w:val="000000"/>
          <w:sz w:val="22"/>
        </w:rPr>
        <w:t>) between you and Kyverna Therapeutics, Inc. (the “</w:t>
      </w:r>
      <w:r>
        <w:rPr>
          <w:rFonts w:ascii="sans-serif" w:hAnsi="sans-serif"/>
          <w:b/>
          <w:color w:val="000000"/>
          <w:sz w:val="22"/>
        </w:rPr>
        <w:t>Company</w:t>
      </w:r>
      <w:r>
        <w:rPr>
          <w:rFonts w:ascii="Times New Roman" w:hAnsi="Times New Roman"/>
          <w:color w:val="000000"/>
          <w:sz w:val="20"/>
        </w:rPr>
        <w:t>”</w:t>
      </w:r>
      <w:r>
        <w:rPr>
          <w:rFonts w:ascii="sans-serif" w:hAnsi="sans-serif"/>
          <w:color w:val="000000"/>
          <w:sz w:val="22"/>
        </w:rPr>
        <w:t>) in connection with your termination of employment with the Company.</w:t>
      </w:r>
    </w:p>
    <w:p>
      <w:pPr>
        <w:pStyle w:val="TextBody"/>
        <w:bidi w:val="0"/>
        <w:spacing w:before="0" w:after="0"/>
        <w:jc w:val="left"/>
        <w:rPr>
          <w:rFonts w:ascii="sans-serif" w:hAnsi="sans-serif"/>
          <w:b/>
          <w:color w:val="000000"/>
          <w:sz w:val="22"/>
        </w:rPr>
      </w:pPr>
      <w:r>
        <w:rPr>
          <w:rFonts w:ascii="sans-serif" w:hAnsi="sans-serif"/>
          <w:b/>
          <w:color w:val="000000"/>
          <w:sz w:val="22"/>
        </w:rPr>
        <w:t>1.</w:t>
      </w:r>
    </w:p>
    <w:p>
      <w:pPr>
        <w:pStyle w:val="TextBody"/>
        <w:bidi w:val="0"/>
        <w:jc w:val="left"/>
        <w:rPr/>
      </w:pPr>
      <w:r>
        <w:rPr>
          <w:rFonts w:ascii="sans-serif" w:hAnsi="sans-serif"/>
          <w:b/>
          <w:color w:val="000000"/>
          <w:sz w:val="22"/>
        </w:rPr>
        <w:t>SEPARATION</w:t>
      </w:r>
      <w:r>
        <w:rPr>
          <w:rFonts w:ascii="sans-serif" w:hAnsi="sans-serif"/>
          <w:color w:val="000000"/>
          <w:sz w:val="22"/>
        </w:rPr>
        <w:t>. Your last day of work with the Company and your employment termination date was [●] (the “</w:t>
      </w:r>
      <w:r>
        <w:rPr>
          <w:rFonts w:ascii="sans-serif" w:hAnsi="sans-serif"/>
          <w:b/>
          <w:color w:val="000000"/>
          <w:sz w:val="22"/>
        </w:rPr>
        <w:t>Separation Date</w:t>
      </w:r>
      <w:r>
        <w:rPr>
          <w:color w:val="000000"/>
        </w:rPr>
        <w:t>”</w:t>
      </w:r>
      <w:r>
        <w:rPr>
          <w:rFonts w:ascii="sans-serif" w:hAnsi="sans-serif"/>
          <w:color w:val="000000"/>
          <w:sz w:val="22"/>
        </w:rPr>
        <w:t>) and the parties agree that you resigned, effective as of the Separation Date, from (a) all positions that you held with the Company or any of its affiliates, including, without limitation, as an employee, officer, manager or director and (b) all fiduciary positions (including as a trustee) you held with respect to any employee benefit plans or trusts established by the Company or any affiliate, and the parties hereby confirm that your resignation was not due to any disagreement with the Company relating to any of the Company’s operations, policies or practices. You agree to execute any additional documents consistent with the foregoing resignations that the Company may reasonably request.</w:t>
      </w:r>
    </w:p>
    <w:p>
      <w:pPr>
        <w:pStyle w:val="TextBody"/>
        <w:bidi w:val="0"/>
        <w:spacing w:before="11" w:after="283"/>
        <w:jc w:val="both"/>
        <w:rPr/>
      </w:pPr>
      <w:r>
        <w:rPr/>
        <w:t> </w:t>
      </w:r>
    </w:p>
    <w:p>
      <w:pPr>
        <w:pStyle w:val="TextBody"/>
        <w:bidi w:val="0"/>
        <w:spacing w:before="0" w:after="0"/>
        <w:jc w:val="left"/>
        <w:rPr>
          <w:rFonts w:ascii="sans-serif" w:hAnsi="sans-serif"/>
          <w:b/>
          <w:color w:val="000000"/>
          <w:sz w:val="22"/>
        </w:rPr>
      </w:pPr>
      <w:r>
        <w:rPr>
          <w:rFonts w:ascii="sans-serif" w:hAnsi="sans-serif"/>
          <w:b/>
          <w:color w:val="000000"/>
          <w:sz w:val="22"/>
        </w:rPr>
        <w:t>2.</w:t>
      </w:r>
    </w:p>
    <w:p>
      <w:pPr>
        <w:pStyle w:val="TextBody"/>
        <w:bidi w:val="0"/>
        <w:jc w:val="left"/>
        <w:rPr/>
      </w:pPr>
      <w:r>
        <w:rPr>
          <w:rFonts w:ascii="sans-serif" w:hAnsi="sans-serif"/>
          <w:b/>
          <w:color w:val="000000"/>
          <w:sz w:val="22"/>
        </w:rPr>
        <w:t xml:space="preserve">SEVERANCE. </w:t>
      </w:r>
      <w:r>
        <w:rPr>
          <w:rFonts w:ascii="sans-serif" w:hAnsi="sans-serif"/>
          <w:color w:val="000000"/>
          <w:sz w:val="22"/>
        </w:rPr>
        <w:t>If you timely sign this Agreement, allow it to become effective and irrevocable, and comply with your obligations under it (collectively, the “</w:t>
      </w:r>
      <w:r>
        <w:rPr>
          <w:rFonts w:ascii="sans-serif" w:hAnsi="sans-serif"/>
          <w:b/>
          <w:color w:val="000000"/>
          <w:sz w:val="22"/>
        </w:rPr>
        <w:t>Preconditions</w:t>
      </w:r>
      <w:r>
        <w:rPr>
          <w:color w:val="000000"/>
        </w:rPr>
        <w:t>”</w:t>
      </w:r>
      <w:r>
        <w:rPr>
          <w:rFonts w:ascii="sans-serif" w:hAnsi="sans-serif"/>
          <w:color w:val="000000"/>
          <w:sz w:val="22"/>
        </w:rPr>
        <w:t>), then the Company will provide you with the following severance benefits described in your offer letter agreement with the Company dated April ____, 2026 (capitalized terms not defined herein shall have the meanings ascribed to them in such offer letter agreement):</w:t>
      </w:r>
    </w:p>
    <w:p>
      <w:pPr>
        <w:pStyle w:val="TextBody"/>
        <w:bidi w:val="0"/>
        <w:jc w:val="both"/>
        <w:rPr/>
      </w:pPr>
      <w:r>
        <w:rPr/>
        <w:t> </w:t>
      </w:r>
    </w:p>
    <w:p>
      <w:pPr>
        <w:pStyle w:val="TextBody"/>
        <w:bidi w:val="0"/>
        <w:spacing w:before="0" w:after="0"/>
        <w:jc w:val="left"/>
        <w:rPr>
          <w:rFonts w:ascii="sans-serif" w:hAnsi="sans-serif"/>
          <w:color w:val="000000"/>
          <w:sz w:val="22"/>
        </w:rPr>
      </w:pPr>
      <w:r>
        <w:rPr>
          <w:rFonts w:ascii="sans-serif" w:hAnsi="sans-serif"/>
          <w:color w:val="000000"/>
          <w:sz w:val="22"/>
        </w:rPr>
        <w:t>2.1.</w:t>
      </w:r>
    </w:p>
    <w:p>
      <w:pPr>
        <w:pStyle w:val="TextBody"/>
        <w:bidi w:val="0"/>
        <w:jc w:val="left"/>
        <w:rPr/>
      </w:pPr>
      <w:r>
        <w:rPr>
          <w:rFonts w:ascii="sans-serif" w:hAnsi="sans-serif"/>
          <w:color w:val="000000"/>
          <w:sz w:val="22"/>
        </w:rPr>
        <w:t>[An amount equal to 12 months of your then‐current Base Salary, less all applicable withholdings and deductions, paid over such 12‐month period.]</w:t>
      </w:r>
      <w:r>
        <w:rPr>
          <w:rFonts w:ascii="sans-serif" w:hAnsi="sans-serif"/>
          <w:color w:val="0563C1"/>
          <w:sz w:val="15"/>
          <w:u w:val="single"/>
        </w:rPr>
        <w:t>[1]</w:t>
      </w:r>
      <w:r>
        <w:rPr>
          <w:color w:val="000000"/>
        </w:rPr>
        <w:t xml:space="preserve"> </w:t>
      </w:r>
      <w:r>
        <w:rPr>
          <w:rFonts w:ascii="sans-serif" w:hAnsi="sans-serif"/>
          <w:color w:val="000000"/>
          <w:sz w:val="22"/>
        </w:rPr>
        <w:t>This amount will be paid in equal installments on the Company’s regular payroll schedule and will be subject to applicable tax withholdings over the period following the date of your termination date; provided, however, that no payments will be made prior to the 60th day following your Separation from Service. On the 60th day following your Separation from Service, the Company will pay you in a lump sum the severance benefits that you would have received on or prior to such date under the original schedule but for the delay while waiting for the 60th day in compliance with Code Section 409A and the effectiveness of the Release (as defined herein), with the balance to be paid as originally scheduled.</w:t>
      </w:r>
    </w:p>
    <w:p>
      <w:pPr>
        <w:pStyle w:val="TextBody"/>
        <w:bidi w:val="0"/>
        <w:jc w:val="left"/>
        <w:rPr/>
      </w:pPr>
      <w:r>
        <w:rPr/>
        <w:t> </w:t>
      </w:r>
    </w:p>
    <w:p>
      <w:pPr>
        <w:pStyle w:val="TextBody"/>
        <w:bidi w:val="0"/>
        <w:spacing w:before="0" w:after="0"/>
        <w:jc w:val="left"/>
        <w:rPr>
          <w:rFonts w:ascii="sans-serif" w:hAnsi="sans-serif"/>
          <w:color w:val="000000"/>
          <w:sz w:val="22"/>
        </w:rPr>
      </w:pPr>
      <w:r>
        <w:rPr>
          <w:rFonts w:ascii="sans-serif" w:hAnsi="sans-serif"/>
          <w:color w:val="000000"/>
          <w:sz w:val="22"/>
        </w:rPr>
        <w:t>2.2.</w:t>
      </w:r>
    </w:p>
    <w:p>
      <w:pPr>
        <w:pStyle w:val="TextBody"/>
        <w:bidi w:val="0"/>
        <w:jc w:val="left"/>
        <w:rPr/>
      </w:pPr>
      <w:r>
        <w:rPr>
          <w:rFonts w:ascii="sans-serif" w:hAnsi="sans-serif"/>
          <w:color w:val="000000"/>
          <w:sz w:val="22"/>
        </w:rPr>
        <w:t>If you timely elect continued coverage under COBRA, then the Company shall pay the entire COBRA premiums necessary to continue your health insurance coverage in effect for yourself and your eligible dependents on the termination date until the earliest of (i) the close of the [12‐month]</w:t>
      </w:r>
      <w:r>
        <w:rPr>
          <w:rFonts w:ascii="sans-serif" w:hAnsi="sans-serif"/>
          <w:color w:val="0563C1"/>
          <w:sz w:val="15"/>
          <w:u w:val="single"/>
        </w:rPr>
        <w:t>[2]</w:t>
      </w:r>
      <w:r>
        <w:rPr>
          <w:rFonts w:ascii="sans-serif" w:hAnsi="sans-serif"/>
          <w:color w:val="000000"/>
          <w:sz w:val="22"/>
        </w:rPr>
        <w:t xml:space="preserve">period following the termination of your employment, (ii) the expiration of your eligibility for the continuation coverage under COBRA, and (iii) the date when you become eligible for substantially equivalent health insurance coverage in connection with new employment. If you become eligible for coverage under another employer’s group health plan or otherwise cease to be eligible for </w:t>
      </w:r>
    </w:p>
    <w:p>
      <w:pPr>
        <w:pStyle w:val="TextBody"/>
        <w:bidi w:val="0"/>
        <w:jc w:val="center"/>
        <w:rPr>
          <w:rFonts w:ascii="sans-serif" w:hAnsi="sans-serif"/>
          <w:color w:val="000000"/>
          <w:sz w:val="22"/>
        </w:rPr>
      </w:pPr>
      <w:r>
        <w:rPr>
          <w:rFonts w:ascii="sans-serif" w:hAnsi="sans-serif"/>
          <w:color w:val="000000"/>
          <w:sz w:val="22"/>
        </w:rPr>
        <w:t>1</w:t>
      </w:r>
    </w:p>
    <w:p>
      <w:pPr>
        <w:pStyle w:val="HorizontalLine"/>
        <w:pBdr>
          <w:bottom w:val="double" w:sz="2" w:space="0" w:color="808080"/>
        </w:pBdr>
        <w:bidi w:val="0"/>
        <w:spacing w:before="0" w:after="283"/>
        <w:jc w:val="left"/>
        <w:rPr/>
      </w:pPr>
      <w:r>
        <w:rPr/>
      </w:r>
    </w:p>
    <w:p>
      <w:pPr>
        <w:pStyle w:val="TextBody"/>
        <w:bidi w:val="0"/>
        <w:spacing w:before="0" w:after="240"/>
        <w:jc w:val="both"/>
        <w:rPr/>
      </w:pPr>
      <w:r>
        <w:rPr/>
        <w:t> </w:t>
      </w:r>
    </w:p>
    <w:p>
      <w:pPr>
        <w:pStyle w:val="TextBody"/>
        <w:bidi w:val="0"/>
        <w:jc w:val="left"/>
        <w:rPr/>
      </w:pPr>
      <w:r>
        <w:rPr>
          <w:rFonts w:ascii="sans-serif" w:hAnsi="sans-serif"/>
          <w:color w:val="000000"/>
          <w:sz w:val="22"/>
        </w:rPr>
        <w:t>COBRA during the period provided in this clause, you must immediately notify the Company of such event, and all payments and obligations under this clause shall cease</w:t>
      </w:r>
      <w:r>
        <w:rPr>
          <w:rFonts w:ascii="Times New Roman" w:hAnsi="Times New Roman"/>
          <w:color w:val="000000"/>
          <w:sz w:val="22"/>
        </w:rPr>
        <w:t>.</w:t>
      </w:r>
      <w:r>
        <w:rPr>
          <w:rFonts w:ascii="sans-serif" w:hAnsi="sans-serif"/>
          <w:color w:val="0563C1"/>
          <w:sz w:val="15"/>
          <w:u w:val="single"/>
        </w:rPr>
        <w:t>[3]</w:t>
      </w:r>
    </w:p>
    <w:p>
      <w:pPr>
        <w:pStyle w:val="TextBody"/>
        <w:bidi w:val="0"/>
        <w:jc w:val="both"/>
        <w:rPr/>
      </w:pPr>
      <w:r>
        <w:rPr/>
        <w:t> </w:t>
      </w:r>
    </w:p>
    <w:p>
      <w:pPr>
        <w:pStyle w:val="TextBody"/>
        <w:bidi w:val="0"/>
        <w:spacing w:before="10" w:after="283"/>
        <w:jc w:val="left"/>
        <w:rPr>
          <w:rFonts w:ascii="sans-serif" w:hAnsi="sans-serif"/>
          <w:color w:val="000000"/>
          <w:sz w:val="22"/>
        </w:rPr>
      </w:pPr>
      <w:r>
        <w:rPr>
          <w:rFonts w:ascii="sans-serif" w:hAnsi="sans-serif"/>
          <w:color w:val="000000"/>
          <w:sz w:val="22"/>
        </w:rPr>
        <w:t>2.3.</w:t>
      </w:r>
    </w:p>
    <w:p>
      <w:pPr>
        <w:pStyle w:val="TextBody"/>
        <w:bidi w:val="0"/>
        <w:spacing w:before="10" w:after="283"/>
        <w:jc w:val="left"/>
        <w:rPr>
          <w:rFonts w:ascii="sans-serif" w:hAnsi="sans-serif"/>
          <w:color w:val="000000"/>
          <w:sz w:val="22"/>
        </w:rPr>
      </w:pPr>
      <w:r>
        <w:rPr>
          <w:rFonts w:ascii="sans-serif" w:hAnsi="sans-serif"/>
          <w:color w:val="000000"/>
          <w:sz w:val="22"/>
        </w:rPr>
        <w:t>You are not entitled to or due the severance benefits described above unless you sign and return this Agreement and satisfy the Preconditions.</w:t>
      </w:r>
    </w:p>
    <w:p>
      <w:pPr>
        <w:pStyle w:val="TextBody"/>
        <w:bidi w:val="0"/>
        <w:spacing w:before="10" w:after="283"/>
        <w:jc w:val="both"/>
        <w:rPr/>
      </w:pPr>
      <w:r>
        <w:rPr/>
        <w:t> </w:t>
      </w:r>
    </w:p>
    <w:p>
      <w:pPr>
        <w:pStyle w:val="TextBody"/>
        <w:bidi w:val="0"/>
        <w:spacing w:before="2" w:after="283"/>
        <w:jc w:val="left"/>
        <w:rPr>
          <w:rFonts w:ascii="sans-serif" w:hAnsi="sans-serif"/>
          <w:b/>
          <w:smallCaps/>
          <w:color w:val="000000"/>
          <w:sz w:val="22"/>
        </w:rPr>
      </w:pPr>
      <w:r>
        <w:rPr>
          <w:rFonts w:ascii="sans-serif" w:hAnsi="sans-serif"/>
          <w:b/>
          <w:smallCaps/>
          <w:color w:val="000000"/>
          <w:sz w:val="22"/>
        </w:rPr>
        <w:t>3.</w:t>
      </w:r>
    </w:p>
    <w:p>
      <w:pPr>
        <w:pStyle w:val="TextBody"/>
        <w:bidi w:val="0"/>
        <w:spacing w:before="2" w:after="283"/>
        <w:jc w:val="left"/>
        <w:rPr/>
      </w:pPr>
      <w:r>
        <w:rPr>
          <w:rFonts w:ascii="sans-serif" w:hAnsi="sans-serif"/>
          <w:b/>
          <w:smallCaps/>
          <w:color w:val="000000"/>
          <w:sz w:val="22"/>
        </w:rPr>
        <w:t xml:space="preserve">Health Insurance. </w:t>
      </w:r>
      <w:r>
        <w:rPr>
          <w:rFonts w:ascii="sans-serif" w:hAnsi="sans-serif"/>
          <w:color w:val="000000"/>
          <w:sz w:val="22"/>
        </w:rPr>
        <w:t xml:space="preserve">Your participation in the Company’s group health insurance plan will end on the last day of the month in which the Separation Date occurs. To the extent provided by COBRA or, if applicable, state insurance laws, and by the Company’s current group health insurance policies, you will be eligible to continue your group health insurance benefits following the Separation Date, at the Company’s expense as provided under Section 2(b) above and thereafter at your own expense for such period as applicable law may provide. </w:t>
      </w:r>
    </w:p>
    <w:p>
      <w:pPr>
        <w:pStyle w:val="TextBody"/>
        <w:bidi w:val="0"/>
        <w:spacing w:before="2" w:after="283"/>
        <w:jc w:val="both"/>
        <w:rPr/>
      </w:pPr>
      <w:r>
        <w:rPr/>
        <w:t> </w:t>
      </w:r>
    </w:p>
    <w:p>
      <w:pPr>
        <w:pStyle w:val="TextBody"/>
        <w:bidi w:val="0"/>
        <w:spacing w:before="10" w:after="283"/>
        <w:jc w:val="left"/>
        <w:rPr>
          <w:rFonts w:ascii="sans-serif" w:hAnsi="sans-serif"/>
          <w:b/>
          <w:smallCaps/>
          <w:color w:val="000000"/>
          <w:sz w:val="22"/>
        </w:rPr>
      </w:pPr>
      <w:r>
        <w:rPr>
          <w:rFonts w:ascii="sans-serif" w:hAnsi="sans-serif"/>
          <w:b/>
          <w:smallCaps/>
          <w:color w:val="000000"/>
          <w:sz w:val="22"/>
        </w:rPr>
        <w:t>4.</w:t>
      </w:r>
    </w:p>
    <w:p>
      <w:pPr>
        <w:pStyle w:val="TextBody"/>
        <w:bidi w:val="0"/>
        <w:spacing w:before="10" w:after="283"/>
        <w:jc w:val="left"/>
        <w:rPr/>
      </w:pPr>
      <w:r>
        <w:rPr>
          <w:rFonts w:ascii="sans-serif" w:hAnsi="sans-serif"/>
          <w:b/>
          <w:smallCaps/>
          <w:color w:val="000000"/>
          <w:sz w:val="22"/>
        </w:rPr>
        <w:t xml:space="preserve">Stock Options. </w:t>
      </w:r>
      <w:r>
        <w:rPr>
          <w:rFonts w:ascii="sans-serif" w:hAnsi="sans-serif"/>
          <w:color w:val="000000"/>
          <w:sz w:val="22"/>
        </w:rPr>
        <w:t>Under the terms of your stock option agreement and the applicable plan documents, vesting of your stock options will cease as of the Separation Date. Except as provided in Section 2(c) above, your right to exercise any vested shares, and all other rights and obligations with respect to your stock options(s) and all other equity compensation, will be as set forth in the applicable equity award agreement, grant notice and applicable plan documents.</w:t>
      </w:r>
    </w:p>
    <w:p>
      <w:pPr>
        <w:pStyle w:val="TextBody"/>
        <w:bidi w:val="0"/>
        <w:spacing w:before="10" w:after="283"/>
        <w:jc w:val="both"/>
        <w:rPr/>
      </w:pPr>
      <w:r>
        <w:rPr/>
        <w:t> </w:t>
      </w:r>
    </w:p>
    <w:p>
      <w:pPr>
        <w:pStyle w:val="TextBody"/>
        <w:bidi w:val="0"/>
        <w:spacing w:before="10" w:after="283"/>
        <w:jc w:val="left"/>
        <w:rPr>
          <w:rFonts w:ascii="sans-serif" w:hAnsi="sans-serif"/>
          <w:b/>
          <w:smallCaps/>
          <w:color w:val="000000"/>
          <w:sz w:val="22"/>
        </w:rPr>
      </w:pPr>
      <w:r>
        <w:rPr>
          <w:rFonts w:ascii="sans-serif" w:hAnsi="sans-serif"/>
          <w:b/>
          <w:smallCaps/>
          <w:color w:val="000000"/>
          <w:sz w:val="22"/>
        </w:rPr>
        <w:t>5.</w:t>
      </w:r>
    </w:p>
    <w:p>
      <w:pPr>
        <w:pStyle w:val="TextBody"/>
        <w:bidi w:val="0"/>
        <w:spacing w:before="10" w:after="283"/>
        <w:jc w:val="left"/>
        <w:rPr/>
      </w:pPr>
      <w:r>
        <w:rPr>
          <w:rFonts w:ascii="sans-serif" w:hAnsi="sans-serif"/>
          <w:b/>
          <w:smallCaps/>
          <w:color w:val="000000"/>
          <w:sz w:val="22"/>
        </w:rPr>
        <w:t xml:space="preserve">Other Compensation or Benefits. </w:t>
      </w:r>
      <w:r>
        <w:rPr>
          <w:rFonts w:ascii="sans-serif" w:hAnsi="sans-serif"/>
          <w:color w:val="000000"/>
          <w:sz w:val="22"/>
        </w:rPr>
        <w:t>You acknowledge that, except as expressly provided in this Agreement, you have not earned and will not receive from the Company any additional compensation (including base salary, bonus, incentive compensation, or equity), severance, or benefits before or after the Separation Date, with the exception of any vested right you may have under the express terms of a written ERISA-qualified benefit plan (e.g., 401(k) account) or any vested stock options.</w:t>
      </w:r>
    </w:p>
    <w:p>
      <w:pPr>
        <w:pStyle w:val="TextBody"/>
        <w:bidi w:val="0"/>
        <w:spacing w:before="10" w:after="283"/>
        <w:jc w:val="both"/>
        <w:rPr/>
      </w:pPr>
      <w:r>
        <w:rPr/>
        <w:t> </w:t>
      </w:r>
    </w:p>
    <w:p>
      <w:pPr>
        <w:pStyle w:val="TextBody"/>
        <w:bidi w:val="0"/>
        <w:spacing w:before="10" w:after="283"/>
        <w:jc w:val="left"/>
        <w:rPr>
          <w:rFonts w:ascii="sans-serif" w:hAnsi="sans-serif"/>
          <w:b/>
          <w:smallCaps/>
          <w:color w:val="000000"/>
          <w:sz w:val="22"/>
        </w:rPr>
      </w:pPr>
      <w:r>
        <w:rPr>
          <w:rFonts w:ascii="sans-serif" w:hAnsi="sans-serif"/>
          <w:b/>
          <w:smallCaps/>
          <w:color w:val="000000"/>
          <w:sz w:val="22"/>
        </w:rPr>
        <w:t>6.</w:t>
      </w:r>
    </w:p>
    <w:p>
      <w:pPr>
        <w:pStyle w:val="TextBody"/>
        <w:bidi w:val="0"/>
        <w:spacing w:before="10" w:after="283"/>
        <w:jc w:val="left"/>
        <w:rPr/>
      </w:pPr>
      <w:r>
        <w:rPr>
          <w:rFonts w:ascii="sans-serif" w:hAnsi="sans-serif"/>
          <w:b/>
          <w:smallCaps/>
          <w:color w:val="000000"/>
          <w:sz w:val="22"/>
        </w:rPr>
        <w:t xml:space="preserve">Expense Reimbursements. </w:t>
      </w:r>
      <w:r>
        <w:rPr>
          <w:rFonts w:ascii="sans-serif" w:hAnsi="sans-serif"/>
          <w:color w:val="000000"/>
          <w:sz w:val="22"/>
        </w:rPr>
        <w:t>You agree that you have submitted your final documented expense reimbursement statement reflecting all business expenses you incurred through the Separation Date, if any, for which you seek reimbursement. The Company will reimburse you for these expenses pursuant to its regular business practice.</w:t>
      </w:r>
    </w:p>
    <w:p>
      <w:pPr>
        <w:pStyle w:val="TextBody"/>
        <w:bidi w:val="0"/>
        <w:spacing w:before="10" w:after="283"/>
        <w:jc w:val="both"/>
        <w:rPr/>
      </w:pPr>
      <w:r>
        <w:rPr/>
        <w:t> </w:t>
      </w:r>
    </w:p>
    <w:p>
      <w:pPr>
        <w:pStyle w:val="TextBody"/>
        <w:bidi w:val="0"/>
        <w:spacing w:before="10" w:after="283"/>
        <w:jc w:val="left"/>
        <w:rPr>
          <w:rFonts w:ascii="sans-serif" w:hAnsi="sans-serif"/>
          <w:b/>
          <w:smallCaps/>
          <w:color w:val="000000"/>
          <w:sz w:val="22"/>
        </w:rPr>
      </w:pPr>
      <w:r>
        <w:rPr>
          <w:rFonts w:ascii="sans-serif" w:hAnsi="sans-serif"/>
          <w:b/>
          <w:smallCaps/>
          <w:color w:val="000000"/>
          <w:sz w:val="22"/>
        </w:rPr>
        <w:t>7.</w:t>
      </w:r>
    </w:p>
    <w:p>
      <w:pPr>
        <w:pStyle w:val="TextBody"/>
        <w:bidi w:val="0"/>
        <w:spacing w:before="10" w:after="283"/>
        <w:jc w:val="left"/>
        <w:rPr>
          <w:rFonts w:ascii="sans-serif" w:hAnsi="sans-serif"/>
          <w:b/>
          <w:smallCaps/>
          <w:color w:val="000000"/>
          <w:sz w:val="22"/>
        </w:rPr>
      </w:pPr>
      <w:r>
        <w:rPr>
          <w:rFonts w:ascii="sans-serif" w:hAnsi="sans-serif"/>
          <w:b/>
          <w:smallCaps/>
          <w:color w:val="000000"/>
          <w:sz w:val="22"/>
        </w:rPr>
        <w:t>Release of Claims.</w:t>
      </w:r>
    </w:p>
    <w:p>
      <w:pPr>
        <w:pStyle w:val="TextBody"/>
        <w:bidi w:val="0"/>
        <w:spacing w:before="10" w:after="283"/>
        <w:jc w:val="both"/>
        <w:rPr/>
      </w:pPr>
      <w:r>
        <w:rPr/>
        <w:t> </w:t>
      </w:r>
    </w:p>
    <w:p>
      <w:pPr>
        <w:pStyle w:val="TextBody"/>
        <w:bidi w:val="0"/>
        <w:spacing w:before="10" w:after="283"/>
        <w:jc w:val="left"/>
        <w:rPr>
          <w:rFonts w:ascii="sans-serif" w:hAnsi="sans-serif"/>
          <w:b/>
          <w:color w:val="000000"/>
          <w:sz w:val="22"/>
        </w:rPr>
      </w:pPr>
      <w:r>
        <w:rPr>
          <w:rFonts w:ascii="sans-serif" w:hAnsi="sans-serif"/>
          <w:b/>
          <w:color w:val="000000"/>
          <w:sz w:val="22"/>
        </w:rPr>
        <w:t>7.1.</w:t>
      </w:r>
    </w:p>
    <w:p>
      <w:pPr>
        <w:pStyle w:val="TextBody"/>
        <w:bidi w:val="0"/>
        <w:spacing w:before="10" w:after="283"/>
        <w:jc w:val="left"/>
        <w:rPr/>
      </w:pPr>
      <w:r>
        <w:rPr>
          <w:rFonts w:ascii="sans-serif" w:hAnsi="sans-serif"/>
          <w:b/>
          <w:color w:val="000000"/>
          <w:sz w:val="22"/>
        </w:rPr>
        <w:t>General Release of Claims.</w:t>
      </w:r>
      <w:r>
        <w:rPr>
          <w:color w:val="000000"/>
        </w:rPr>
        <w:t xml:space="preserve"> </w:t>
      </w:r>
      <w:r>
        <w:rPr>
          <w:rFonts w:ascii="sans-serif" w:hAnsi="sans-serif"/>
          <w:color w:val="000000"/>
          <w:sz w:val="22"/>
        </w:rPr>
        <w:t>In exchange for the consideration provided to you under this Agreement to which you would not otherwise be entitled, you hereby generally and completely release the Company, and its affiliated, related, parent and subsidiary entities, and its and their current and former directors, officers, employees, shareholders, partners, agents, attorneys, predecessors, successors, insurers, affiliates, and assigns from any and all claims, liabilities, demands, causes of action, and obligations, both known and unknown, arising from or in any way related to events, acts, conduct, or omissions occurring at any time prior to and including the date you sign this Agreement.</w:t>
      </w:r>
    </w:p>
    <w:p>
      <w:pPr>
        <w:pStyle w:val="TextBody"/>
        <w:bidi w:val="0"/>
        <w:spacing w:before="10" w:after="283"/>
        <w:jc w:val="both"/>
        <w:rPr/>
      </w:pPr>
      <w:r>
        <w:rPr/>
        <w:t> </w:t>
      </w:r>
    </w:p>
    <w:p>
      <w:pPr>
        <w:pStyle w:val="TextBody"/>
        <w:bidi w:val="0"/>
        <w:spacing w:before="10" w:after="283"/>
        <w:jc w:val="left"/>
        <w:rPr>
          <w:rFonts w:ascii="sans-serif" w:hAnsi="sans-serif"/>
          <w:b/>
          <w:color w:val="000000"/>
          <w:sz w:val="22"/>
        </w:rPr>
      </w:pPr>
      <w:r>
        <w:rPr>
          <w:rFonts w:ascii="sans-serif" w:hAnsi="sans-serif"/>
          <w:b/>
          <w:color w:val="000000"/>
          <w:sz w:val="22"/>
        </w:rPr>
        <w:t>7.2.</w:t>
      </w:r>
    </w:p>
    <w:p>
      <w:pPr>
        <w:pStyle w:val="TextBody"/>
        <w:bidi w:val="0"/>
        <w:spacing w:before="10" w:after="283"/>
        <w:jc w:val="left"/>
        <w:rPr/>
      </w:pPr>
      <w:r>
        <w:rPr>
          <w:rFonts w:ascii="sans-serif" w:hAnsi="sans-serif"/>
          <w:b/>
          <w:color w:val="000000"/>
          <w:sz w:val="22"/>
        </w:rPr>
        <w:t>Scope of Release.</w:t>
      </w:r>
      <w:r>
        <w:rPr>
          <w:color w:val="000000"/>
        </w:rPr>
        <w:t xml:space="preserve"> </w:t>
      </w:r>
      <w:r>
        <w:rPr>
          <w:rFonts w:ascii="sans-serif" w:hAnsi="sans-serif"/>
          <w:color w:val="000000"/>
          <w:sz w:val="22"/>
        </w:rPr>
        <w:t xml:space="preserve">This general release includes, but is not limited to: (i) all claims arising from or in any way related to your employment with the Company or the termination of that employment; (ii) all claims related to your compensation or benefits from the Company, including salary, bonuses, commissions, vacation pay,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w:t>
      </w:r>
    </w:p>
    <w:p>
      <w:pPr>
        <w:pStyle w:val="TextBody"/>
        <w:bidi w:val="0"/>
        <w:jc w:val="center"/>
        <w:rPr>
          <w:rFonts w:ascii="sans-serif" w:hAnsi="sans-serif"/>
          <w:color w:val="000000"/>
          <w:sz w:val="22"/>
        </w:rPr>
      </w:pPr>
      <w:r>
        <w:rPr>
          <w:rFonts w:ascii="sans-serif" w:hAnsi="sans-serif"/>
          <w:color w:val="000000"/>
          <w:sz w:val="22"/>
        </w:rPr>
        <w:t>2</w:t>
      </w:r>
    </w:p>
    <w:p>
      <w:pPr>
        <w:pStyle w:val="HorizontalLine"/>
        <w:pBdr>
          <w:bottom w:val="double" w:sz="2" w:space="0" w:color="808080"/>
        </w:pBdr>
        <w:bidi w:val="0"/>
        <w:spacing w:before="0" w:after="283"/>
        <w:jc w:val="left"/>
        <w:rPr/>
      </w:pPr>
      <w:r>
        <w:rPr/>
      </w:r>
    </w:p>
    <w:p>
      <w:pPr>
        <w:pStyle w:val="TextBody"/>
        <w:bidi w:val="0"/>
        <w:spacing w:before="0" w:after="240"/>
        <w:jc w:val="both"/>
        <w:rPr/>
      </w:pPr>
      <w:r>
        <w:rPr/>
        <w:t> </w:t>
      </w:r>
    </w:p>
    <w:p>
      <w:pPr>
        <w:pStyle w:val="TextBody"/>
        <w:bidi w:val="0"/>
        <w:spacing w:before="10" w:after="283"/>
        <w:jc w:val="left"/>
        <w:rPr/>
      </w:pPr>
      <w:r>
        <w:rPr>
          <w:rFonts w:ascii="sans-serif" w:hAnsi="sans-serif"/>
          <w:color w:val="000000"/>
          <w:sz w:val="22"/>
        </w:rPr>
        <w:t>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California Labor Code (as amended), the California Family Rights Act, the Age Discrimination in Employment Act (“</w:t>
      </w:r>
      <w:r>
        <w:rPr>
          <w:rFonts w:ascii="sans-serif" w:hAnsi="sans-serif"/>
          <w:b/>
          <w:color w:val="000000"/>
          <w:sz w:val="22"/>
        </w:rPr>
        <w:t>ADEA</w:t>
      </w:r>
      <w:r>
        <w:rPr>
          <w:color w:val="000000"/>
        </w:rPr>
        <w:t>”</w:t>
      </w:r>
      <w:r>
        <w:rPr>
          <w:rFonts w:ascii="sans-serif" w:hAnsi="sans-serif"/>
          <w:color w:val="000000"/>
          <w:sz w:val="22"/>
        </w:rPr>
        <w:t xml:space="preserve">) and the California Fair Employment and Housing Act (as amended). </w:t>
      </w:r>
      <w:r>
        <w:rPr>
          <w:rFonts w:ascii="sans-serif" w:hAnsi="sans-serif"/>
          <w:b/>
          <w:color w:val="000000"/>
          <w:sz w:val="22"/>
        </w:rPr>
        <w:t xml:space="preserve">You acknowledge that you have been advised, as required by California Government Code Section 12964.5(b)(4), that you have the right to consult an attorney regarding this Agreement and that you were given a reasonable time period (of at least twenty-one (21) days) in which to do so. </w:t>
      </w:r>
      <w:r>
        <w:rPr>
          <w:rFonts w:ascii="sans-serif" w:hAnsi="sans-serif"/>
          <w:color w:val="000000"/>
          <w:sz w:val="22"/>
        </w:rPr>
        <w:t>You further acknowledge and agree that, in the event you sign this Agreement prior to the end of the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pStyle w:val="TextBody"/>
        <w:bidi w:val="0"/>
        <w:spacing w:before="10" w:after="283"/>
        <w:jc w:val="both"/>
        <w:rPr/>
      </w:pPr>
      <w:r>
        <w:rPr/>
        <w:t> </w:t>
      </w:r>
    </w:p>
    <w:p>
      <w:pPr>
        <w:pStyle w:val="TextBody"/>
        <w:bidi w:val="0"/>
        <w:spacing w:before="11" w:after="283"/>
        <w:jc w:val="left"/>
        <w:rPr>
          <w:rFonts w:ascii="sans-serif" w:hAnsi="sans-serif"/>
          <w:b/>
          <w:color w:val="000000"/>
          <w:sz w:val="22"/>
        </w:rPr>
      </w:pPr>
      <w:r>
        <w:rPr>
          <w:rFonts w:ascii="sans-serif" w:hAnsi="sans-serif"/>
          <w:b/>
          <w:color w:val="000000"/>
          <w:sz w:val="22"/>
        </w:rPr>
        <w:t>7.3.</w:t>
      </w:r>
    </w:p>
    <w:p>
      <w:pPr>
        <w:pStyle w:val="TextBody"/>
        <w:bidi w:val="0"/>
        <w:spacing w:before="11" w:after="283"/>
        <w:jc w:val="left"/>
        <w:rPr/>
      </w:pPr>
      <w:r>
        <w:rPr>
          <w:rFonts w:ascii="sans-serif" w:hAnsi="sans-serif"/>
          <w:b/>
          <w:color w:val="000000"/>
          <w:sz w:val="22"/>
        </w:rPr>
        <w:t xml:space="preserve">ADEA Release. </w:t>
      </w:r>
      <w:r>
        <w:rPr>
          <w:rFonts w:ascii="sans-serif" w:hAnsi="sans-serif"/>
          <w:color w:val="000000"/>
          <w:sz w:val="22"/>
        </w:rPr>
        <w:t>You acknowledge that you are knowingly and voluntarily waiving and releasing any rights you have 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arising after the date you sign this Agreement; (b) you should consult with an attorney prior to signing this Agreement (although you may choose voluntarily not to do so); (c) you haveat least [twenty-one (21)]</w:t>
      </w:r>
      <w:r>
        <w:rPr>
          <w:rFonts w:ascii="sans-serif" w:hAnsi="sans-serif"/>
          <w:color w:val="0563C1"/>
          <w:sz w:val="15"/>
          <w:u w:val="single"/>
        </w:rPr>
        <w:t>[4]</w:t>
      </w:r>
      <w:r>
        <w:rPr>
          <w:color w:val="000000"/>
        </w:rPr>
        <w:t xml:space="preserve"> </w:t>
      </w:r>
      <w:r>
        <w:rPr>
          <w:rFonts w:ascii="sans-serif" w:hAnsi="sans-serif"/>
          <w:color w:val="000000"/>
          <w:sz w:val="22"/>
        </w:rPr>
        <w:t>days to consider this Agreement (although you may choose voluntarily to sign it sooner); (d) you have seven (7) days following the date you sign this Agreement to revoke this Agreement (in a written revocation sent to me); and (e) this Agreement will not be effective until the date upon which the revocation period has expired, which will be the eighth day after you sign this Agreement provided that you do not revoke it.</w:t>
      </w:r>
    </w:p>
    <w:p>
      <w:pPr>
        <w:pStyle w:val="TextBody"/>
        <w:bidi w:val="0"/>
        <w:spacing w:before="11" w:after="283"/>
        <w:jc w:val="both"/>
        <w:rPr/>
      </w:pPr>
      <w:r>
        <w:rPr/>
        <w:t> </w:t>
      </w:r>
    </w:p>
    <w:p>
      <w:pPr>
        <w:pStyle w:val="TextBody"/>
        <w:bidi w:val="0"/>
        <w:spacing w:before="10" w:after="283"/>
        <w:jc w:val="left"/>
        <w:rPr>
          <w:rFonts w:ascii="sans-serif" w:hAnsi="sans-serif"/>
          <w:b/>
          <w:color w:val="000000"/>
          <w:sz w:val="22"/>
        </w:rPr>
      </w:pPr>
      <w:r>
        <w:rPr>
          <w:rFonts w:ascii="sans-serif" w:hAnsi="sans-serif"/>
          <w:b/>
          <w:color w:val="000000"/>
          <w:sz w:val="22"/>
        </w:rPr>
        <w:t>7.4.</w:t>
      </w:r>
    </w:p>
    <w:p>
      <w:pPr>
        <w:pStyle w:val="TextBody"/>
        <w:bidi w:val="0"/>
        <w:spacing w:before="10" w:after="283"/>
        <w:jc w:val="left"/>
        <w:rPr/>
      </w:pPr>
      <w:r>
        <w:rPr>
          <w:rFonts w:ascii="sans-serif" w:hAnsi="sans-serif"/>
          <w:b/>
          <w:color w:val="000000"/>
          <w:sz w:val="22"/>
        </w:rPr>
        <w:t xml:space="preserve">Section 1542 Waiver. </w:t>
      </w:r>
      <w:r>
        <w:rPr>
          <w:rFonts w:ascii="sans-serif" w:hAnsi="sans-serif"/>
          <w:color w:val="000000"/>
          <w:sz w:val="22"/>
        </w:rPr>
        <w:t>In giving the release herein, which includes claims which may be unknown to you at present, you acknowledge that you have read and understand Section 1542 of the California Civil Code, which reads as follows:</w:t>
      </w:r>
    </w:p>
    <w:p>
      <w:pPr>
        <w:pStyle w:val="TextBody"/>
        <w:bidi w:val="0"/>
        <w:spacing w:before="10" w:after="283"/>
        <w:jc w:val="both"/>
        <w:rPr/>
      </w:pPr>
      <w:r>
        <w:rPr/>
        <w:t> </w:t>
      </w:r>
    </w:p>
    <w:p>
      <w:pPr>
        <w:pStyle w:val="TextBody"/>
        <w:bidi w:val="0"/>
        <w:jc w:val="both"/>
        <w:rPr>
          <w:color w:val="000000"/>
        </w:rPr>
      </w:pPr>
      <w:r>
        <w:rPr>
          <w:color w:val="000000"/>
        </w:rPr>
        <w:t>“</w:t>
      </w:r>
      <w:r>
        <w:rPr>
          <w:rFonts w:ascii="sans-serif" w:hAnsi="sans-serif"/>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jc w:val="both"/>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You hereby expressly waive and relinquish all rights and benefits under that section and any law of any other jurisdiction of similar effect with respect to your release of claims herein, including but not limited to your release of unknown claims.</w:t>
      </w:r>
    </w:p>
    <w:p>
      <w:pPr>
        <w:pStyle w:val="TextBody"/>
        <w:bidi w:val="0"/>
        <w:spacing w:before="0" w:after="0"/>
        <w:jc w:val="left"/>
        <w:rPr>
          <w:rFonts w:ascii="sans-serif" w:hAnsi="sans-serif"/>
          <w:b/>
          <w:color w:val="000000"/>
          <w:sz w:val="22"/>
        </w:rPr>
      </w:pPr>
      <w:r>
        <w:rPr>
          <w:rFonts w:ascii="sans-serif" w:hAnsi="sans-serif"/>
          <w:b/>
          <w:color w:val="000000"/>
          <w:sz w:val="22"/>
        </w:rPr>
        <w:t>7.5.</w:t>
      </w:r>
    </w:p>
    <w:p>
      <w:pPr>
        <w:pStyle w:val="TextBody"/>
        <w:bidi w:val="0"/>
        <w:jc w:val="left"/>
        <w:rPr/>
      </w:pPr>
      <w:r>
        <w:rPr>
          <w:rFonts w:ascii="sans-serif" w:hAnsi="sans-serif"/>
          <w:b/>
          <w:color w:val="000000"/>
          <w:sz w:val="22"/>
        </w:rPr>
        <w:t>Exceptions.</w:t>
      </w:r>
      <w:r>
        <w:rPr>
          <w:color w:val="000000"/>
        </w:rPr>
        <w:t xml:space="preserve"> </w:t>
      </w:r>
      <w:r>
        <w:rPr>
          <w:rFonts w:ascii="sans-serif" w:hAnsi="sans-serif"/>
          <w:color w:val="000000"/>
          <w:sz w:val="22"/>
        </w:rPr>
        <w:t>Notwithstanding the foregoing, you are not releasing the Company hereby from: (i) any obligation to indemnify you pursuant to the Certificate of Incorporation and Bylaws of the Company, any valid fully executed indemnification agreement with the Company, applicable law, or applicable directors and officers liability insurance; (ii) any claims that cannot be waived by law; (iii) any claims for breach of this Agreement; (iv) any claims arising after you sign this Agreement; (v) any claims arising under this Agreement; and (vi) any claims for unpaid amounts specified in Section 5 above.</w:t>
      </w:r>
    </w:p>
    <w:p>
      <w:pPr>
        <w:pStyle w:val="TextBody"/>
        <w:bidi w:val="0"/>
        <w:jc w:val="both"/>
        <w:rPr/>
      </w:pPr>
      <w:r>
        <w:rPr/>
        <w:t> </w:t>
      </w:r>
    </w:p>
    <w:p>
      <w:pPr>
        <w:pStyle w:val="TextBody"/>
        <w:bidi w:val="0"/>
        <w:spacing w:before="10" w:after="283"/>
        <w:jc w:val="left"/>
        <w:rPr>
          <w:rFonts w:ascii="sans-serif" w:hAnsi="sans-serif"/>
          <w:b/>
          <w:color w:val="000000"/>
          <w:sz w:val="22"/>
        </w:rPr>
      </w:pPr>
      <w:r>
        <w:rPr>
          <w:rFonts w:ascii="sans-serif" w:hAnsi="sans-serif"/>
          <w:b/>
          <w:color w:val="000000"/>
          <w:sz w:val="22"/>
        </w:rPr>
        <w:t>7.6.</w:t>
      </w:r>
    </w:p>
    <w:p>
      <w:pPr>
        <w:pStyle w:val="TextBody"/>
        <w:bidi w:val="0"/>
        <w:spacing w:before="10" w:after="283"/>
        <w:jc w:val="left"/>
        <w:rPr/>
      </w:pPr>
      <w:r>
        <w:rPr>
          <w:rFonts w:ascii="sans-serif" w:hAnsi="sans-serif"/>
          <w:b/>
          <w:color w:val="000000"/>
          <w:sz w:val="22"/>
        </w:rPr>
        <w:t xml:space="preserve">Protected Rights. </w:t>
      </w:r>
      <w:r>
        <w:rPr>
          <w:rFonts w:ascii="sans-serif" w:hAnsi="sans-serif"/>
          <w:color w:val="000000"/>
          <w:sz w:val="22"/>
        </w:rPr>
        <w:t xml:space="preserve">You understand that nothing in this Agreement limits your </w:t>
      </w:r>
    </w:p>
    <w:p>
      <w:pPr>
        <w:pStyle w:val="TextBody"/>
        <w:bidi w:val="0"/>
        <w:jc w:val="center"/>
        <w:rPr>
          <w:rFonts w:ascii="sans-serif" w:hAnsi="sans-serif"/>
          <w:color w:val="000000"/>
          <w:sz w:val="22"/>
        </w:rPr>
      </w:pPr>
      <w:r>
        <w:rPr>
          <w:rFonts w:ascii="sans-serif" w:hAnsi="sans-serif"/>
          <w:color w:val="000000"/>
          <w:sz w:val="22"/>
        </w:rPr>
        <w:t>3</w:t>
      </w:r>
    </w:p>
    <w:p>
      <w:pPr>
        <w:pStyle w:val="HorizontalLine"/>
        <w:pBdr>
          <w:bottom w:val="double" w:sz="2" w:space="0" w:color="808080"/>
        </w:pBdr>
        <w:bidi w:val="0"/>
        <w:spacing w:before="0" w:after="283"/>
        <w:jc w:val="left"/>
        <w:rPr/>
      </w:pPr>
      <w:r>
        <w:rPr/>
      </w:r>
    </w:p>
    <w:p>
      <w:pPr>
        <w:pStyle w:val="TextBody"/>
        <w:bidi w:val="0"/>
        <w:spacing w:before="0" w:after="240"/>
        <w:jc w:val="both"/>
        <w:rPr/>
      </w:pPr>
      <w:r>
        <w:rPr/>
        <w:t> </w:t>
      </w:r>
    </w:p>
    <w:p>
      <w:pPr>
        <w:pStyle w:val="TextBody"/>
        <w:bidi w:val="0"/>
        <w:spacing w:before="10" w:after="283"/>
        <w:jc w:val="left"/>
        <w:rPr/>
      </w:pPr>
      <w:r>
        <w:rPr>
          <w:rFonts w:ascii="sans-serif" w:hAnsi="sans-serif"/>
          <w:color w:val="000000"/>
          <w:sz w:val="22"/>
        </w:rPr>
        <w:t>ability to file a charge or complaint with the Equal Employment Opportunity Commission, the Department of Labor, the National Labor Relations Board, the Occupational Safety and Health Administration, the California Department of Fair Employment and Housing, the Securities and Exchange Commission or any other federal, state or local governmental agency or commission (“</w:t>
      </w:r>
      <w:r>
        <w:rPr>
          <w:rFonts w:ascii="sans-serif" w:hAnsi="sans-serif"/>
          <w:b/>
          <w:color w:val="000000"/>
          <w:sz w:val="22"/>
        </w:rPr>
        <w:t>Government Agencies</w:t>
      </w:r>
      <w:r>
        <w:rPr>
          <w:color w:val="000000"/>
        </w:rPr>
        <w:t>”</w:t>
      </w:r>
      <w:r>
        <w:rPr>
          <w:rFonts w:ascii="sans-serif" w:hAnsi="sans-serif"/>
          <w:color w:val="000000"/>
          <w:sz w:val="22"/>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 Nothing in this Agreement prevents you from discussing or disclosing information about unlawful acts in the workplace, such as harassment or discrimination or any other conduct that you have reason to believe is unlawful.</w:t>
      </w:r>
    </w:p>
    <w:p>
      <w:pPr>
        <w:pStyle w:val="TextBody"/>
        <w:bidi w:val="0"/>
        <w:spacing w:before="10" w:after="283"/>
        <w:jc w:val="both"/>
        <w:rPr/>
      </w:pPr>
      <w:r>
        <w:rPr/>
        <w:t> </w:t>
      </w:r>
    </w:p>
    <w:p>
      <w:pPr>
        <w:pStyle w:val="TextBody"/>
        <w:bidi w:val="0"/>
        <w:spacing w:before="1" w:after="283"/>
        <w:jc w:val="left"/>
        <w:rPr>
          <w:rFonts w:ascii="sans-serif" w:hAnsi="sans-serif"/>
          <w:b/>
          <w:color w:val="000000"/>
          <w:sz w:val="22"/>
        </w:rPr>
      </w:pPr>
      <w:r>
        <w:rPr>
          <w:rFonts w:ascii="sans-serif" w:hAnsi="sans-serif"/>
          <w:b/>
          <w:color w:val="000000"/>
          <w:sz w:val="22"/>
        </w:rPr>
        <w:t>8.</w:t>
      </w:r>
    </w:p>
    <w:p>
      <w:pPr>
        <w:pStyle w:val="TextBody"/>
        <w:bidi w:val="0"/>
        <w:spacing w:before="1" w:after="283"/>
        <w:jc w:val="left"/>
        <w:rPr/>
      </w:pPr>
      <w:r>
        <w:rPr>
          <w:rFonts w:ascii="sans-serif" w:hAnsi="sans-serif"/>
          <w:b/>
          <w:color w:val="000000"/>
          <w:sz w:val="22"/>
        </w:rPr>
        <w:t>RETURN OF COMPANY PROPERTY.</w:t>
      </w:r>
      <w:r>
        <w:rPr>
          <w:color w:val="000000"/>
        </w:rPr>
        <w:t xml:space="preserve"> </w:t>
      </w:r>
      <w:r>
        <w:rPr>
          <w:rFonts w:ascii="sans-serif" w:hAnsi="sans-serif"/>
          <w:color w:val="000000"/>
          <w:sz w:val="22"/>
        </w:rPr>
        <w:t xml:space="preserve">You represent that you have returned to the Company all Company documents (and all copies thereof) and other Company property previously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 of any kind which contain or embody any proprietary or confidential information of the Company (and all reproductions or embodiments thereof in whole or in part). You represent that you have made a diligent search to locate any such documents, property and information. If you have used any personally owned computer or other electronic device, server, or e-mail system to receive, store, review, prepare or transmit any Company confidential or proprietary data, materials or information, you agree to provide 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completed. </w:t>
      </w:r>
      <w:r>
        <w:rPr>
          <w:rFonts w:ascii="sans-serif" w:hAnsi="sans-serif"/>
          <w:b/>
          <w:color w:val="000000"/>
          <w:sz w:val="22"/>
        </w:rPr>
        <w:t>Your timely compliance with this paragraph is a condition to your receipt of the benefits provided under this Agreement.</w:t>
      </w:r>
    </w:p>
    <w:p>
      <w:pPr>
        <w:pStyle w:val="TextBody"/>
        <w:bidi w:val="0"/>
        <w:jc w:val="both"/>
        <w:rPr/>
      </w:pPr>
      <w:r>
        <w:rPr/>
        <w:t> </w:t>
      </w:r>
    </w:p>
    <w:p>
      <w:pPr>
        <w:pStyle w:val="TextBody"/>
        <w:bidi w:val="0"/>
        <w:spacing w:before="11" w:after="283"/>
        <w:jc w:val="left"/>
        <w:rPr>
          <w:rFonts w:ascii="sans-serif" w:hAnsi="sans-serif"/>
          <w:b/>
          <w:smallCaps/>
          <w:color w:val="000000"/>
          <w:sz w:val="22"/>
        </w:rPr>
      </w:pPr>
      <w:r>
        <w:rPr>
          <w:rFonts w:ascii="sans-serif" w:hAnsi="sans-serif"/>
          <w:b/>
          <w:smallCaps/>
          <w:color w:val="000000"/>
          <w:sz w:val="22"/>
        </w:rPr>
        <w:t>9.</w:t>
      </w:r>
    </w:p>
    <w:p>
      <w:pPr>
        <w:pStyle w:val="TextBody"/>
        <w:bidi w:val="0"/>
        <w:spacing w:before="11" w:after="283"/>
        <w:jc w:val="left"/>
        <w:rPr/>
      </w:pPr>
      <w:r>
        <w:rPr>
          <w:rFonts w:ascii="sans-serif" w:hAnsi="sans-serif"/>
          <w:b/>
          <w:smallCaps/>
          <w:color w:val="000000"/>
          <w:sz w:val="22"/>
        </w:rPr>
        <w:t>Confidential Information Obligations</w:t>
      </w:r>
      <w:r>
        <w:rPr>
          <w:rFonts w:ascii="sans-serif" w:hAnsi="sans-serif"/>
          <w:b/>
          <w:color w:val="000000"/>
          <w:sz w:val="22"/>
        </w:rPr>
        <w:t>.</w:t>
      </w:r>
      <w:r>
        <w:rPr>
          <w:color w:val="000000"/>
        </w:rPr>
        <w:t xml:space="preserve"> </w:t>
      </w:r>
      <w:r>
        <w:rPr>
          <w:rFonts w:ascii="sans-serif" w:hAnsi="sans-serif"/>
          <w:color w:val="000000"/>
          <w:sz w:val="22"/>
        </w:rPr>
        <w:t>You acknowledge and reaffirm your continuing obligations under your Employee Confidential Information and Inventions Assignment Agreement, a copy of which is attached hereto as Exhibit B and incorporated herein byreference.</w:t>
      </w:r>
    </w:p>
    <w:p>
      <w:pPr>
        <w:pStyle w:val="TextBody"/>
        <w:bidi w:val="0"/>
        <w:spacing w:before="10" w:after="283"/>
        <w:jc w:val="left"/>
        <w:rPr>
          <w:rFonts w:ascii="sans-serif" w:hAnsi="sans-serif"/>
          <w:b/>
          <w:smallCaps/>
          <w:color w:val="000000"/>
          <w:sz w:val="22"/>
        </w:rPr>
      </w:pPr>
      <w:r>
        <w:rPr>
          <w:rFonts w:ascii="sans-serif" w:hAnsi="sans-serif"/>
          <w:b/>
          <w:smallCaps/>
          <w:color w:val="000000"/>
          <w:sz w:val="22"/>
        </w:rPr>
        <w:t>10.</w:t>
      </w:r>
    </w:p>
    <w:p>
      <w:pPr>
        <w:pStyle w:val="TextBody"/>
        <w:bidi w:val="0"/>
        <w:spacing w:before="10" w:after="283"/>
        <w:jc w:val="left"/>
        <w:rPr/>
      </w:pPr>
      <w:r>
        <w:rPr>
          <w:rFonts w:ascii="sans-serif" w:hAnsi="sans-serif"/>
          <w:b/>
          <w:smallCaps/>
          <w:color w:val="000000"/>
          <w:sz w:val="22"/>
        </w:rPr>
        <w:t xml:space="preserve">Non-disparagement. </w:t>
      </w:r>
      <w:r>
        <w:rPr>
          <w:rFonts w:ascii="sans-serif" w:hAnsi="sans-serif"/>
          <w:color w:val="000000"/>
          <w:sz w:val="22"/>
        </w:rPr>
        <w:t xml:space="preserve">You agree not to disparage the Company, its officers, directors, employees, stockholders, parents, subsidiaries, affiliates, and agents, in any manner likely to be harmful to its or their business, business reputation, or personal reputation; provided that you may respond accurately and fully to any request for information if required by legal process or in connection with a government investigation. In addition, nothing in this provision or this Agreement is intended to prohibit or restrain you in any manner from making disclosures protected under the whistleblower provisions of federal or state law or regulation or other applicable law or regulation or as set forth in the section of this Agreement entitled “Protected Rights.” In response to any reference request from a prospective employer, the Company will only confirm your dates of employment and positions held. The Company agrees not to disparage you in any manner likely to be harmful to your business, business reputation, or </w:t>
      </w:r>
    </w:p>
    <w:p>
      <w:pPr>
        <w:pStyle w:val="TextBody"/>
        <w:bidi w:val="0"/>
        <w:jc w:val="center"/>
        <w:rPr>
          <w:rFonts w:ascii="sans-serif" w:hAnsi="sans-serif"/>
          <w:color w:val="000000"/>
          <w:sz w:val="22"/>
        </w:rPr>
      </w:pPr>
      <w:r>
        <w:rPr>
          <w:rFonts w:ascii="sans-serif" w:hAnsi="sans-serif"/>
          <w:color w:val="000000"/>
          <w:sz w:val="22"/>
        </w:rPr>
        <w:t>4</w:t>
      </w:r>
    </w:p>
    <w:p>
      <w:pPr>
        <w:pStyle w:val="HorizontalLine"/>
        <w:pBdr>
          <w:bottom w:val="double" w:sz="2" w:space="0" w:color="808080"/>
        </w:pBdr>
        <w:bidi w:val="0"/>
        <w:spacing w:before="0" w:after="283"/>
        <w:jc w:val="left"/>
        <w:rPr/>
      </w:pPr>
      <w:r>
        <w:rPr/>
      </w:r>
    </w:p>
    <w:p>
      <w:pPr>
        <w:pStyle w:val="TextBody"/>
        <w:bidi w:val="0"/>
        <w:spacing w:before="0" w:after="240"/>
        <w:jc w:val="both"/>
        <w:rPr/>
      </w:pPr>
      <w:r>
        <w:rPr/>
        <w:t> </w:t>
      </w:r>
    </w:p>
    <w:p>
      <w:pPr>
        <w:pStyle w:val="TextBody"/>
        <w:bidi w:val="0"/>
        <w:spacing w:before="10" w:after="283"/>
        <w:jc w:val="left"/>
        <w:rPr>
          <w:rFonts w:ascii="sans-serif" w:hAnsi="sans-serif"/>
          <w:color w:val="000000"/>
          <w:sz w:val="22"/>
        </w:rPr>
      </w:pPr>
      <w:r>
        <w:rPr>
          <w:rFonts w:ascii="sans-serif" w:hAnsi="sans-serif"/>
          <w:color w:val="000000"/>
          <w:sz w:val="22"/>
        </w:rPr>
        <w:t>personal reputation; provided that the Company may respond accurately and fully to any request for information if required by legal process or in connection with a government investigation.</w:t>
      </w:r>
    </w:p>
    <w:p>
      <w:pPr>
        <w:pStyle w:val="TextBody"/>
        <w:bidi w:val="0"/>
        <w:spacing w:before="10" w:after="283"/>
        <w:jc w:val="both"/>
        <w:rPr/>
      </w:pPr>
      <w:r>
        <w:rPr/>
        <w:t> </w:t>
      </w:r>
    </w:p>
    <w:p>
      <w:pPr>
        <w:pStyle w:val="TextBody"/>
        <w:bidi w:val="0"/>
        <w:spacing w:before="10" w:after="283"/>
        <w:jc w:val="left"/>
        <w:rPr>
          <w:rFonts w:ascii="sans-serif" w:hAnsi="sans-serif"/>
          <w:b/>
          <w:smallCaps/>
          <w:color w:val="000000"/>
          <w:sz w:val="22"/>
        </w:rPr>
      </w:pPr>
      <w:r>
        <w:rPr>
          <w:rFonts w:ascii="sans-serif" w:hAnsi="sans-serif"/>
          <w:b/>
          <w:smallCaps/>
          <w:color w:val="000000"/>
          <w:sz w:val="22"/>
        </w:rPr>
        <w:t>11.</w:t>
      </w:r>
    </w:p>
    <w:p>
      <w:pPr>
        <w:pStyle w:val="TextBody"/>
        <w:bidi w:val="0"/>
        <w:spacing w:before="10" w:after="283"/>
        <w:jc w:val="left"/>
        <w:rPr/>
      </w:pPr>
      <w:r>
        <w:rPr>
          <w:rFonts w:ascii="sans-serif" w:hAnsi="sans-serif"/>
          <w:b/>
          <w:smallCaps/>
          <w:color w:val="000000"/>
          <w:sz w:val="22"/>
        </w:rPr>
        <w:t>No Voluntary Adverse Action</w:t>
      </w:r>
      <w:r>
        <w:rPr>
          <w:rFonts w:ascii="sans-serif" w:hAnsi="sans-serif"/>
          <w:b/>
          <w:color w:val="000000"/>
          <w:sz w:val="22"/>
        </w:rPr>
        <w:t>.</w:t>
      </w:r>
      <w:r>
        <w:rPr>
          <w:color w:val="000000"/>
        </w:rPr>
        <w:t xml:space="preserve"> </w:t>
      </w:r>
      <w:r>
        <w:rPr>
          <w:rFonts w:ascii="sans-serif" w:hAnsi="sans-serif"/>
          <w:color w:val="000000"/>
          <w:sz w:val="22"/>
        </w:rPr>
        <w:t>You agree that you will not voluntarily (except in response to legal compulsion or as expressly permitted under the section of this Agreement entitled “Protected Rights”, Section 7(f)) assist any person in bringing or pursuing any proposed or pending litigation, arbitration, administrative claim or other formal proceeding against the Company, its parent or subsidiary entities, affiliates, officers, directors, employees or agents.</w:t>
      </w:r>
    </w:p>
    <w:p>
      <w:pPr>
        <w:pStyle w:val="TextBody"/>
        <w:bidi w:val="0"/>
        <w:spacing w:before="10" w:after="283"/>
        <w:jc w:val="both"/>
        <w:rPr/>
      </w:pPr>
      <w:r>
        <w:rPr/>
        <w:t> </w:t>
      </w:r>
    </w:p>
    <w:p>
      <w:pPr>
        <w:pStyle w:val="TextBody"/>
        <w:bidi w:val="0"/>
        <w:spacing w:before="0" w:after="0"/>
        <w:jc w:val="left"/>
        <w:rPr>
          <w:rFonts w:ascii="sans-serif" w:hAnsi="sans-serif"/>
          <w:b/>
          <w:smallCaps/>
          <w:color w:val="000000"/>
          <w:sz w:val="22"/>
        </w:rPr>
      </w:pPr>
      <w:r>
        <w:rPr>
          <w:rFonts w:ascii="sans-serif" w:hAnsi="sans-serif"/>
          <w:b/>
          <w:smallCaps/>
          <w:color w:val="000000"/>
          <w:sz w:val="22"/>
        </w:rPr>
        <w:t>12.</w:t>
      </w:r>
    </w:p>
    <w:p>
      <w:pPr>
        <w:pStyle w:val="TextBody"/>
        <w:bidi w:val="0"/>
        <w:jc w:val="left"/>
        <w:rPr/>
      </w:pPr>
      <w:r>
        <w:rPr>
          <w:rFonts w:ascii="sans-serif" w:hAnsi="sans-serif"/>
          <w:b/>
          <w:smallCaps/>
          <w:color w:val="000000"/>
          <w:sz w:val="22"/>
        </w:rPr>
        <w:t xml:space="preserve">Cooperation. </w:t>
      </w:r>
      <w:r>
        <w:rPr>
          <w:rFonts w:ascii="sans-serif" w:hAnsi="sans-serif"/>
          <w:color w:val="000000"/>
          <w:sz w:val="22"/>
        </w:rPr>
        <w:t>If requested by the Company, you agree to reasonably cooperate with the Company in connection with its actual or contemplated defense, prosecution, or investigation of 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w:t>
      </w:r>
    </w:p>
    <w:p>
      <w:pPr>
        <w:pStyle w:val="TextBody"/>
        <w:bidi w:val="0"/>
        <w:jc w:val="both"/>
        <w:rPr/>
      </w:pPr>
      <w:r>
        <w:rPr/>
        <w:t> </w:t>
      </w:r>
    </w:p>
    <w:p>
      <w:pPr>
        <w:pStyle w:val="TextBody"/>
        <w:bidi w:val="0"/>
        <w:spacing w:before="10" w:after="283"/>
        <w:jc w:val="left"/>
        <w:rPr>
          <w:rFonts w:ascii="sans-serif" w:hAnsi="sans-serif"/>
          <w:b/>
          <w:smallCaps/>
          <w:color w:val="000000"/>
          <w:sz w:val="22"/>
        </w:rPr>
      </w:pPr>
      <w:r>
        <w:rPr>
          <w:rFonts w:ascii="sans-serif" w:hAnsi="sans-serif"/>
          <w:b/>
          <w:smallCaps/>
          <w:color w:val="000000"/>
          <w:sz w:val="22"/>
        </w:rPr>
        <w:t>13.</w:t>
      </w:r>
    </w:p>
    <w:p>
      <w:pPr>
        <w:pStyle w:val="TextBody"/>
        <w:bidi w:val="0"/>
        <w:spacing w:before="10" w:after="283"/>
        <w:jc w:val="left"/>
        <w:rPr/>
      </w:pPr>
      <w:r>
        <w:rPr>
          <w:rFonts w:ascii="sans-serif" w:hAnsi="sans-serif"/>
          <w:b/>
          <w:smallCaps/>
          <w:color w:val="000000"/>
          <w:sz w:val="22"/>
        </w:rPr>
        <w:t xml:space="preserve">No Admissions. </w:t>
      </w:r>
      <w:r>
        <w:rPr>
          <w:rFonts w:ascii="sans-serif" w:hAnsi="sans-serif"/>
          <w:color w:val="000000"/>
          <w:sz w:val="22"/>
        </w:rPr>
        <w:t>You understand and agree that the promises and payments in consideration of this Agreement shall not be construed to be an admission of any liability or obligation by the Company to you or to any other person, and that the Company makes no such admission.</w:t>
      </w:r>
    </w:p>
    <w:p>
      <w:pPr>
        <w:pStyle w:val="TextBody"/>
        <w:bidi w:val="0"/>
        <w:spacing w:before="10" w:after="283"/>
        <w:jc w:val="both"/>
        <w:rPr/>
      </w:pPr>
      <w:r>
        <w:rPr/>
        <w:t> </w:t>
      </w:r>
    </w:p>
    <w:p>
      <w:pPr>
        <w:pStyle w:val="TextBody"/>
        <w:bidi w:val="0"/>
        <w:spacing w:before="0" w:after="0"/>
        <w:jc w:val="left"/>
        <w:rPr>
          <w:rFonts w:ascii="sans-serif" w:hAnsi="sans-serif"/>
          <w:b/>
          <w:smallCaps/>
          <w:color w:val="000000"/>
          <w:sz w:val="22"/>
        </w:rPr>
      </w:pPr>
      <w:r>
        <w:rPr>
          <w:rFonts w:ascii="sans-serif" w:hAnsi="sans-serif"/>
          <w:b/>
          <w:smallCaps/>
          <w:color w:val="000000"/>
          <w:sz w:val="22"/>
        </w:rPr>
        <w:t>14.</w:t>
      </w:r>
    </w:p>
    <w:p>
      <w:pPr>
        <w:pStyle w:val="TextBody"/>
        <w:bidi w:val="0"/>
        <w:jc w:val="left"/>
        <w:rPr/>
      </w:pPr>
      <w:r>
        <w:rPr>
          <w:rFonts w:ascii="sans-serif" w:hAnsi="sans-serif"/>
          <w:b/>
          <w:smallCaps/>
          <w:color w:val="000000"/>
          <w:sz w:val="22"/>
        </w:rPr>
        <w:t xml:space="preserve">Representations. </w:t>
      </w:r>
      <w:r>
        <w:rPr>
          <w:rFonts w:ascii="sans-serif" w:hAnsi="sans-serif"/>
          <w:color w:val="000000"/>
          <w:sz w:val="22"/>
        </w:rPr>
        <w:t>You hereby represent that you have: been paid all compensation owed and for all hours worked; received all leave and leave benefits and protections for which you are eligible pursuant to the Family and Medical Leave Act, the California Family Rights Act, or otherwise; and not suffered any on-the-job injury for which you have not already filed a workers’ compensation claim.</w:t>
      </w:r>
    </w:p>
    <w:p>
      <w:pPr>
        <w:pStyle w:val="TextBody"/>
        <w:bidi w:val="0"/>
        <w:jc w:val="both"/>
        <w:rPr/>
      </w:pPr>
      <w:r>
        <w:rPr/>
        <w:t> </w:t>
      </w:r>
    </w:p>
    <w:p>
      <w:pPr>
        <w:pStyle w:val="TextBody"/>
        <w:bidi w:val="0"/>
        <w:spacing w:before="0" w:after="0"/>
        <w:jc w:val="left"/>
        <w:rPr>
          <w:rFonts w:ascii="sans-serif" w:hAnsi="sans-serif"/>
          <w:b/>
          <w:smallCaps/>
          <w:color w:val="000000"/>
          <w:sz w:val="22"/>
        </w:rPr>
      </w:pPr>
      <w:r>
        <w:rPr>
          <w:rFonts w:ascii="sans-serif" w:hAnsi="sans-serif"/>
          <w:b/>
          <w:smallCaps/>
          <w:color w:val="000000"/>
          <w:sz w:val="22"/>
        </w:rPr>
        <w:t>15.</w:t>
      </w:r>
    </w:p>
    <w:p>
      <w:pPr>
        <w:pStyle w:val="TextBody"/>
        <w:bidi w:val="0"/>
        <w:jc w:val="left"/>
        <w:rPr/>
      </w:pPr>
      <w:r>
        <w:rPr>
          <w:rFonts w:ascii="sans-serif" w:hAnsi="sans-serif"/>
          <w:b/>
          <w:smallCaps/>
          <w:color w:val="000000"/>
          <w:sz w:val="22"/>
        </w:rPr>
        <w:t xml:space="preserve">Dispute Resolution. </w:t>
      </w:r>
      <w:r>
        <w:rPr>
          <w:rFonts w:ascii="sans-serif" w:hAnsi="sans-serif"/>
          <w:color w:val="000000"/>
          <w:sz w:val="22"/>
        </w:rPr>
        <w:t xml:space="preserve">You and the Company agree that any and all disputes, claims, or controversies of any nature whatsoever arising from, or relating to, this Agreement or its interpretation, enforcement, breach, performance or execution, your employment or the termination of such employment (including, but not limited to, any statutory claims), shall be resolved pursuant to the Federal Arbitration Act, 9 U.S.C. § 1‐16, to the fullest extent permitted by law, by final, binding and confidential arbitration conducted by JAMS or its successor, under JAMS’ then applicable rules and procedures for employment disputes before a single arbitrator (available upon request and also currently available at </w:t>
      </w:r>
      <w:r>
        <w:rPr>
          <w:rFonts w:ascii="sans-serif" w:hAnsi="sans-serif"/>
          <w:color w:val="0563C1"/>
          <w:sz w:val="22"/>
          <w:u w:val="single"/>
        </w:rPr>
        <w:t>http://www.jamsadr.com/rules‐employment‐arbitration/</w:t>
      </w:r>
      <w:r>
        <w:rPr>
          <w:rFonts w:ascii="sans-serif" w:hAnsi="sans-serif"/>
          <w:color w:val="000000"/>
          <w:sz w:val="22"/>
        </w:rPr>
        <w:t xml:space="preserve">) at a location closest to where you last worked for the Company provided that such location will be within fifty (50) miles of your last principal place of employment with the Company. </w:t>
      </w:r>
      <w:r>
        <w:rPr>
          <w:rFonts w:ascii="sans-serif" w:hAnsi="sans-serif"/>
          <w:b/>
          <w:color w:val="000000"/>
          <w:sz w:val="22"/>
        </w:rPr>
        <w:t>You acknowledge that by agreeing to this arbitration procedure, both you and the Company waive the right to resolve any such dispute through a trial by jury or judge</w:t>
      </w:r>
      <w:r>
        <w:rPr>
          <w:rFonts w:ascii="sans-serif" w:hAnsi="sans-serif"/>
          <w:color w:val="000000"/>
          <w:sz w:val="22"/>
        </w:rPr>
        <w:t xml:space="preserve">. In addition,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t>
      </w:r>
    </w:p>
    <w:p>
      <w:pPr>
        <w:pStyle w:val="TextBody"/>
        <w:bidi w:val="0"/>
        <w:jc w:val="center"/>
        <w:rPr>
          <w:rFonts w:ascii="sans-serif" w:hAnsi="sans-serif"/>
          <w:color w:val="000000"/>
          <w:sz w:val="22"/>
        </w:rPr>
      </w:pPr>
      <w:r>
        <w:rPr>
          <w:rFonts w:ascii="sans-serif" w:hAnsi="sans-serif"/>
          <w:color w:val="000000"/>
          <w:sz w:val="22"/>
        </w:rPr>
        <w:t>5</w:t>
      </w:r>
    </w:p>
    <w:p>
      <w:pPr>
        <w:pStyle w:val="HorizontalLine"/>
        <w:pBdr>
          <w:bottom w:val="double" w:sz="2" w:space="0" w:color="808080"/>
        </w:pBdr>
        <w:bidi w:val="0"/>
        <w:spacing w:before="0" w:after="283"/>
        <w:jc w:val="left"/>
        <w:rPr/>
      </w:pPr>
      <w:r>
        <w:rPr/>
      </w:r>
    </w:p>
    <w:p>
      <w:pPr>
        <w:pStyle w:val="TextBody"/>
        <w:bidi w:val="0"/>
        <w:spacing w:before="0" w:after="240"/>
        <w:jc w:val="both"/>
        <w:rPr/>
      </w:pPr>
      <w:r>
        <w:rPr/>
        <w:t> </w:t>
      </w:r>
    </w:p>
    <w:p>
      <w:pPr>
        <w:pStyle w:val="TextBody"/>
        <w:bidi w:val="0"/>
        <w:jc w:val="left"/>
        <w:rPr/>
      </w:pPr>
      <w:r>
        <w:rPr>
          <w:rFonts w:ascii="sans-serif" w:hAnsi="sans-serif"/>
          <w:color w:val="000000"/>
          <w:sz w:val="22"/>
        </w:rPr>
        <w:t>without limitation,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 otherwise invalid (collectively, the “</w:t>
      </w:r>
      <w:r>
        <w:rPr>
          <w:rFonts w:ascii="sans-serif" w:hAnsi="sans-serif"/>
          <w:b/>
          <w:i/>
          <w:color w:val="000000"/>
          <w:sz w:val="22"/>
        </w:rPr>
        <w:t>Excluded Claims</w:t>
      </w:r>
      <w:r>
        <w:rPr>
          <w:color w:val="000000"/>
        </w:rPr>
        <w:t>”</w:t>
      </w:r>
      <w:r>
        <w:rPr>
          <w:rFonts w:ascii="sans-serif" w:hAnsi="sans-serif"/>
          <w:color w:val="000000"/>
          <w:sz w:val="22"/>
        </w:rPr>
        <w:t>). In the event you intend to bring multiple claims, including one of the Excluded Claims listed above, the Excluded Claims may be filed with a court, while any other claims will remain subject to mandatory arbitration.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pStyle w:val="TextBody"/>
        <w:bidi w:val="0"/>
        <w:jc w:val="both"/>
        <w:rPr/>
      </w:pPr>
      <w:r>
        <w:rPr/>
        <w:t> </w:t>
      </w:r>
    </w:p>
    <w:p>
      <w:pPr>
        <w:pStyle w:val="TextBody"/>
        <w:bidi w:val="0"/>
        <w:spacing w:before="11" w:after="283"/>
        <w:jc w:val="left"/>
        <w:rPr>
          <w:rFonts w:ascii="sans-serif" w:hAnsi="sans-serif"/>
          <w:b/>
          <w:smallCaps/>
          <w:color w:val="000000"/>
          <w:sz w:val="22"/>
        </w:rPr>
      </w:pPr>
      <w:r>
        <w:rPr>
          <w:rFonts w:ascii="sans-serif" w:hAnsi="sans-serif"/>
          <w:b/>
          <w:smallCaps/>
          <w:color w:val="000000"/>
          <w:sz w:val="22"/>
        </w:rPr>
        <w:t>16.</w:t>
      </w:r>
    </w:p>
    <w:p>
      <w:pPr>
        <w:pStyle w:val="TextBody"/>
        <w:bidi w:val="0"/>
        <w:spacing w:before="11" w:after="283"/>
        <w:jc w:val="left"/>
        <w:rPr/>
      </w:pPr>
      <w:r>
        <w:rPr>
          <w:rFonts w:ascii="sans-serif" w:hAnsi="sans-serif"/>
          <w:b/>
          <w:smallCaps/>
          <w:color w:val="000000"/>
          <w:sz w:val="22"/>
        </w:rPr>
        <w:t xml:space="preserve">Miscellaneous. </w:t>
      </w:r>
      <w:r>
        <w:rPr>
          <w:rFonts w:ascii="sans-serif" w:hAnsi="sans-serif"/>
          <w:color w:val="000000"/>
          <w:sz w:val="22"/>
        </w:rPr>
        <w:t>This Agreement, including Exhibit B, constitutes the complete, final and exclusive embodiment of 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 construed and enforced in accordance with the laws of the State of California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w:t>
      </w:r>
    </w:p>
    <w:p>
      <w:pPr>
        <w:pStyle w:val="TextBody"/>
        <w:bidi w:val="0"/>
        <w:spacing w:before="11" w:after="283"/>
        <w:jc w:val="both"/>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If this Agreement is acceptable to you, please sign below and return the original to me. This Agreement must become effective and irrevocable no later than sixty (60) days following the Separation Date in order for you to receive the severance benefits described herein, and the Company will have no obligation to provide such benefits if this Agreement does not become effective and irrevocable within that timeframe.</w:t>
      </w:r>
    </w:p>
    <w:p>
      <w:pPr>
        <w:pStyle w:val="TextBody"/>
        <w:bidi w:val="0"/>
        <w:jc w:val="center"/>
        <w:rPr>
          <w:rFonts w:ascii="sans-serif" w:hAnsi="sans-serif"/>
          <w:color w:val="000000"/>
          <w:sz w:val="22"/>
        </w:rPr>
      </w:pPr>
      <w:r>
        <w:rPr>
          <w:rFonts w:ascii="sans-serif" w:hAnsi="sans-serif"/>
          <w:color w:val="000000"/>
          <w:sz w:val="22"/>
        </w:rPr>
        <w:t>6</w:t>
      </w:r>
    </w:p>
    <w:p>
      <w:pPr>
        <w:pStyle w:val="HorizontalLine"/>
        <w:pBdr>
          <w:bottom w:val="double" w:sz="2" w:space="0" w:color="808080"/>
        </w:pBdr>
        <w:bidi w:val="0"/>
        <w:spacing w:before="0" w:after="283"/>
        <w:jc w:val="left"/>
        <w:rPr/>
      </w:pPr>
      <w:r>
        <w:rPr/>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sans-serif" w:hAnsi="sans-serif"/>
          <w:color w:val="000000"/>
          <w:sz w:val="22"/>
        </w:rPr>
        <w:t>We wish you the best in your future endeavors.</w:t>
      </w:r>
      <w:r>
        <w:rPr>
          <w:rFonts w:ascii="Times New Roman" w:hAnsi="Times New Roman"/>
          <w:color w:val="000000"/>
          <w:sz w:val="20"/>
        </w:rPr>
        <w:t xml:space="preserve"> </w:t>
      </w:r>
    </w:p>
    <w:p>
      <w:pPr>
        <w:pStyle w:val="TextBody"/>
        <w:bidi w:val="0"/>
        <w:spacing w:before="0" w:after="240"/>
        <w:jc w:val="both"/>
        <w:rPr>
          <w:rFonts w:ascii="sans-serif" w:hAnsi="sans-serif"/>
          <w:color w:val="000000"/>
          <w:sz w:val="22"/>
        </w:rPr>
      </w:pPr>
      <w:r>
        <w:rPr>
          <w:rFonts w:ascii="sans-serif" w:hAnsi="sans-serif"/>
          <w:color w:val="000000"/>
          <w:sz w:val="22"/>
        </w:rPr>
        <w:t>Sincerely,</w:t>
      </w:r>
    </w:p>
    <w:p>
      <w:pPr>
        <w:pStyle w:val="TextBody"/>
        <w:bidi w:val="0"/>
        <w:jc w:val="both"/>
        <w:rPr>
          <w:rFonts w:ascii="Times New Roman" w:hAnsi="Times New Roman"/>
          <w:sz w:val="20"/>
        </w:rPr>
      </w:pPr>
      <w:r>
        <w:rPr>
          <w:rFonts w:ascii="sans-serif" w:hAnsi="sans-serif"/>
          <w:color w:val="000000"/>
          <w:sz w:val="22"/>
        </w:rPr>
        <w:t>By:</w:t>
      </w:r>
      <w:r>
        <w:rPr>
          <w:rFonts w:ascii="Times New Roman" w:hAnsi="Times New Roman"/>
          <w:color w:val="000000"/>
          <w:sz w:val="20"/>
          <w:u w:val="single"/>
        </w:rPr>
        <w:t xml:space="preserve"> </w:t>
      </w:r>
    </w:p>
    <w:p>
      <w:pPr>
        <w:pStyle w:val="TextBody"/>
        <w:bidi w:val="0"/>
        <w:jc w:val="left"/>
        <w:rPr>
          <w:rFonts w:ascii="sans-serif" w:hAnsi="sans-serif"/>
          <w:b/>
          <w:color w:val="000000"/>
          <w:sz w:val="22"/>
        </w:rPr>
      </w:pPr>
      <w:r>
        <w:rPr>
          <w:rFonts w:ascii="sans-serif" w:hAnsi="sans-serif"/>
          <w:b/>
          <w:color w:val="000000"/>
          <w:sz w:val="22"/>
        </w:rPr>
        <w:t>[Name, Title]</w:t>
      </w:r>
    </w:p>
    <w:p>
      <w:pPr>
        <w:pStyle w:val="TextBody"/>
        <w:bidi w:val="0"/>
        <w:spacing w:before="0" w:after="240"/>
        <w:jc w:val="both"/>
        <w:rPr/>
      </w:pPr>
      <w:r>
        <w:rPr/>
        <w:t> </w:t>
      </w:r>
    </w:p>
    <w:p>
      <w:pPr>
        <w:pStyle w:val="TextBody"/>
        <w:bidi w:val="0"/>
        <w:jc w:val="left"/>
        <w:rPr>
          <w:rFonts w:ascii="sans-serif" w:hAnsi="sans-serif"/>
          <w:b/>
          <w:smallCaps/>
          <w:color w:val="000000"/>
          <w:sz w:val="22"/>
        </w:rPr>
      </w:pPr>
      <w:r>
        <w:rPr>
          <w:rFonts w:ascii="sans-serif" w:hAnsi="sans-serif"/>
          <w:b/>
          <w:smallCaps/>
          <w:color w:val="000000"/>
          <w:sz w:val="22"/>
        </w:rPr>
        <w:t>I have read, understand and agree fully to the foregoing Agreement:</w:t>
      </w:r>
    </w:p>
    <w:p>
      <w:pPr>
        <w:pStyle w:val="TextBody"/>
        <w:bidi w:val="0"/>
        <w:spacing w:before="5" w:after="283"/>
        <w:jc w:val="both"/>
        <w:rPr/>
      </w:pPr>
      <w:r>
        <w:rPr/>
        <w:t> </w:t>
      </w:r>
    </w:p>
    <w:p>
      <w:pPr>
        <w:pStyle w:val="TextBody"/>
        <w:bidi w:val="0"/>
        <w:spacing w:before="5" w:after="283"/>
        <w:jc w:val="both"/>
        <w:rPr>
          <w:rFonts w:ascii="sans-serif" w:hAnsi="sans-serif"/>
          <w:color w:val="000000"/>
          <w:sz w:val="22"/>
        </w:rPr>
      </w:pPr>
      <w:r>
        <w:rPr>
          <w:rFonts w:ascii="sans-serif" w:hAnsi="sans-serif"/>
          <w:color w:val="000000"/>
          <w:sz w:val="22"/>
        </w:rPr>
      </w:r>
    </w:p>
    <w:p>
      <w:pPr>
        <w:pStyle w:val="TextBody"/>
        <w:bidi w:val="0"/>
        <w:spacing w:before="0" w:after="240"/>
        <w:jc w:val="both"/>
        <w:rPr>
          <w:rFonts w:ascii="sans-serif" w:hAnsi="sans-serif"/>
          <w:b/>
          <w:color w:val="000000"/>
          <w:sz w:val="22"/>
        </w:rPr>
      </w:pPr>
      <w:r>
        <w:rPr>
          <w:rFonts w:ascii="sans-serif" w:hAnsi="sans-serif"/>
          <w:b/>
          <w:color w:val="000000"/>
          <w:sz w:val="22"/>
        </w:rPr>
        <w:t>Nadia Dac</w:t>
      </w:r>
    </w:p>
    <w:p>
      <w:pPr>
        <w:pStyle w:val="TextBody"/>
        <w:bidi w:val="0"/>
        <w:spacing w:before="0" w:after="240"/>
        <w:jc w:val="both"/>
        <w:rPr>
          <w:rFonts w:ascii="sans-serif" w:hAnsi="sans-serif"/>
          <w:color w:val="000000"/>
          <w:sz w:val="22"/>
        </w:rPr>
      </w:pPr>
      <w:r>
        <w:rPr>
          <w:rFonts w:ascii="sans-serif" w:hAnsi="sans-serif"/>
          <w:color w:val="000000"/>
          <w:sz w:val="22"/>
        </w:rPr>
        <w:br/>
        <w:t>Date</w:t>
      </w:r>
    </w:p>
    <w:p>
      <w:pPr>
        <w:pStyle w:val="TextBody"/>
        <w:bidi w:val="0"/>
        <w:jc w:val="left"/>
        <w:rPr>
          <w:rFonts w:ascii="sans-serif" w:hAnsi="sans-serif"/>
          <w:color w:val="000000"/>
          <w:sz w:val="22"/>
        </w:rPr>
      </w:pPr>
      <w:r>
        <w:rPr>
          <w:rFonts w:ascii="sans-serif" w:hAnsi="sans-serif"/>
          <w:color w:val="000000"/>
          <w:sz w:val="22"/>
        </w:rPr>
      </w:r>
    </w:p>
    <w:p>
      <w:pPr>
        <w:pStyle w:val="TextBody"/>
        <w:bidi w:val="0"/>
        <w:jc w:val="center"/>
        <w:rPr>
          <w:rFonts w:ascii="sans-serif" w:hAnsi="sans-serif"/>
          <w:color w:val="000000"/>
          <w:sz w:val="22"/>
        </w:rPr>
      </w:pPr>
      <w:r>
        <w:rPr>
          <w:rFonts w:ascii="sans-serif" w:hAnsi="sans-serif"/>
          <w:color w:val="000000"/>
          <w:sz w:val="22"/>
        </w:rPr>
        <w:t>7</w:t>
      </w:r>
    </w:p>
    <w:p>
      <w:pPr>
        <w:pStyle w:val="HorizontalLine"/>
        <w:pBdr>
          <w:bottom w:val="double" w:sz="2" w:space="0" w:color="808080"/>
        </w:pBdr>
        <w:bidi w:val="0"/>
        <w:spacing w:before="0" w:after="283"/>
        <w:jc w:val="left"/>
        <w:rPr/>
      </w:pPr>
      <w:r>
        <w:rPr/>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center"/>
        <w:rPr>
          <w:rFonts w:ascii="sans-serif" w:hAnsi="sans-serif"/>
          <w:b/>
          <w:smallCaps/>
          <w:color w:val="000000"/>
          <w:sz w:val="22"/>
        </w:rPr>
      </w:pPr>
      <w:r>
        <w:rPr>
          <w:rFonts w:ascii="sans-serif" w:hAnsi="sans-serif"/>
          <w:b/>
          <w:smallCaps/>
          <w:color w:val="000000"/>
          <w:sz w:val="22"/>
        </w:rPr>
        <w:t>Exhibit B</w:t>
      </w:r>
    </w:p>
    <w:p>
      <w:pPr>
        <w:pStyle w:val="TextBody"/>
        <w:bidi w:val="0"/>
        <w:spacing w:before="0" w:after="240"/>
        <w:jc w:val="center"/>
        <w:rPr/>
      </w:pPr>
      <w:r>
        <w:rPr/>
        <w:t> </w:t>
      </w:r>
    </w:p>
    <w:p>
      <w:pPr>
        <w:pStyle w:val="TextBody"/>
        <w:bidi w:val="0"/>
        <w:spacing w:before="0" w:after="240"/>
        <w:jc w:val="center"/>
        <w:rPr>
          <w:rFonts w:ascii="sans-serif" w:hAnsi="sans-serif"/>
          <w:b/>
          <w:color w:val="000000"/>
          <w:sz w:val="22"/>
        </w:rPr>
      </w:pPr>
      <w:r>
        <w:rPr>
          <w:rFonts w:ascii="sans-serif" w:hAnsi="sans-serif"/>
          <w:b/>
          <w:color w:val="000000"/>
          <w:sz w:val="22"/>
        </w:rPr>
        <w:t>EMPLOYEE CONFIDENTIAL INFORMATION AND</w:t>
      </w:r>
    </w:p>
    <w:p>
      <w:pPr>
        <w:pStyle w:val="TextBody"/>
        <w:bidi w:val="0"/>
        <w:spacing w:before="0" w:after="240"/>
        <w:jc w:val="center"/>
        <w:rPr>
          <w:rFonts w:ascii="sans-serif" w:hAnsi="sans-serif"/>
          <w:b/>
          <w:color w:val="000000"/>
          <w:sz w:val="22"/>
        </w:rPr>
      </w:pPr>
      <w:r>
        <w:rPr>
          <w:rFonts w:ascii="sans-serif" w:hAnsi="sans-serif"/>
          <w:b/>
          <w:color w:val="000000"/>
          <w:sz w:val="22"/>
        </w:rPr>
        <w:t>INVENTIONS ASSIGNMENT AGREEMENT</w:t>
      </w:r>
    </w:p>
    <w:p>
      <w:pPr>
        <w:pStyle w:val="TextBody"/>
        <w:bidi w:val="0"/>
        <w:spacing w:before="0" w:after="240"/>
        <w:jc w:val="center"/>
        <w:rPr/>
      </w:pPr>
      <w:r>
        <w:rPr/>
        <w:t>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kytx-ex10_4.htm"/>
      <w:bookmarkStart w:id="24" w:name="kskytxex10_4"/>
      <w:bookmarkEnd w:id="23"/>
      <w:bookmarkEnd w:id="24"/>
      <w:r>
        <w:rPr>
          <w:rFonts w:ascii="Times New Roman" w:hAnsi="Times New Roman"/>
          <w:b/>
          <w:color w:val="000000"/>
          <w:sz w:val="20"/>
        </w:rPr>
        <w:t>Exhibit 10.4</w:t>
      </w:r>
      <w:r>
        <w:br w:type="page"/>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***Certain identified information has been omitted from this exhibit because it is both (i) not material and (ii) of the type that the Registrant treats as private or confidential. Such omitted information is indicated by brackets (“[***]”) in this exhibit.***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FIRST AMENDMENT TO LOAN AND SECURITY AGREEMENT</w:t>
      </w:r>
    </w:p>
    <w:p>
      <w:pPr>
        <w:pStyle w:val="TextBody"/>
        <w:bidi w:val="0"/>
        <w:spacing w:before="0" w:after="240"/>
        <w:jc w:val="both"/>
        <w:rPr>
          <w:rFonts w:ascii="Times New Roman" w:hAnsi="Times New Roman"/>
          <w:sz w:val="20"/>
        </w:rPr>
      </w:pPr>
      <w:r>
        <w:rPr>
          <w:rFonts w:ascii="Times New Roman" w:hAnsi="Times New Roman"/>
          <w:color w:val="000000"/>
          <w:sz w:val="20"/>
        </w:rPr>
        <w:t>THIS FIRST AMENDMENT to Loan and Security Agreement (this “</w:t>
      </w:r>
      <w:r>
        <w:rPr>
          <w:rFonts w:ascii="Times New Roman" w:hAnsi="Times New Roman"/>
          <w:b/>
          <w:color w:val="000000"/>
          <w:sz w:val="20"/>
        </w:rPr>
        <w:t>Amendment</w:t>
      </w:r>
      <w:r>
        <w:rPr>
          <w:rFonts w:ascii="Times New Roman" w:hAnsi="Times New Roman"/>
          <w:color w:val="000000"/>
          <w:sz w:val="20"/>
        </w:rPr>
        <w:t>”) is entered into as of July 8, 2026 and made effective as of June 30, 2026 (the “</w:t>
      </w:r>
      <w:r>
        <w:rPr>
          <w:rFonts w:ascii="Times New Roman" w:hAnsi="Times New Roman"/>
          <w:b/>
          <w:color w:val="000000"/>
          <w:sz w:val="20"/>
        </w:rPr>
        <w:t>First Amendment Date</w:t>
      </w:r>
      <w:r>
        <w:rPr>
          <w:rFonts w:ascii="Times New Roman" w:hAnsi="Times New Roman"/>
          <w:color w:val="000000"/>
          <w:sz w:val="20"/>
        </w:rPr>
        <w:t>”), by and among OXFORD FINANCE LLC, a Delaware limited liability company with an office located at 115 South Union Street, Suite 300, Alexandria, Virginia 22314 (“</w:t>
      </w:r>
      <w:r>
        <w:rPr>
          <w:rFonts w:ascii="Times New Roman" w:hAnsi="Times New Roman"/>
          <w:b/>
          <w:color w:val="000000"/>
          <w:sz w:val="20"/>
        </w:rPr>
        <w:t>Oxford</w:t>
      </w:r>
      <w:r>
        <w:rPr>
          <w:rFonts w:ascii="Times New Roman" w:hAnsi="Times New Roman"/>
          <w:color w:val="000000"/>
          <w:sz w:val="20"/>
        </w:rPr>
        <w:t>”), as collateral agent (in such capacity, “</w:t>
      </w:r>
      <w:r>
        <w:rPr>
          <w:rFonts w:ascii="Times New Roman" w:hAnsi="Times New Roman"/>
          <w:b/>
          <w:color w:val="000000"/>
          <w:sz w:val="20"/>
        </w:rPr>
        <w:t>Collateral Agent</w:t>
      </w:r>
      <w:r>
        <w:rPr>
          <w:rFonts w:ascii="Times New Roman" w:hAnsi="Times New Roman"/>
          <w:color w:val="000000"/>
          <w:sz w:val="20"/>
        </w:rPr>
        <w:t>”), the Lenders listed on Schedule 1.1 to the Loan Agreement (as defined below) or otherwise a party thereto from time to time including Oxford in its capacity as a Lender (each a “</w:t>
      </w:r>
      <w:r>
        <w:rPr>
          <w:rFonts w:ascii="Times New Roman" w:hAnsi="Times New Roman"/>
          <w:b/>
          <w:color w:val="000000"/>
          <w:sz w:val="20"/>
        </w:rPr>
        <w:t>Lender</w:t>
      </w:r>
      <w:r>
        <w:rPr>
          <w:rFonts w:ascii="Times New Roman" w:hAnsi="Times New Roman"/>
          <w:color w:val="000000"/>
          <w:sz w:val="20"/>
        </w:rPr>
        <w:t>” and collectively, the “</w:t>
      </w:r>
      <w:r>
        <w:rPr>
          <w:rFonts w:ascii="Times New Roman" w:hAnsi="Times New Roman"/>
          <w:b/>
          <w:color w:val="000000"/>
          <w:sz w:val="20"/>
        </w:rPr>
        <w:t>Lenders</w:t>
      </w:r>
      <w:r>
        <w:rPr>
          <w:rFonts w:ascii="Times New Roman" w:hAnsi="Times New Roman"/>
          <w:color w:val="000000"/>
          <w:sz w:val="20"/>
        </w:rPr>
        <w:t>”), and KYVERNA THERAPEUTICS, INC., a Delaware corporation with offices located at 5980 Horton St., Suite 200, Emeryville, CA 94068 (“</w:t>
      </w:r>
      <w:r>
        <w:rPr>
          <w:rFonts w:ascii="Times New Roman" w:hAnsi="Times New Roman"/>
          <w:b/>
          <w:color w:val="000000"/>
          <w:sz w:val="20"/>
        </w:rPr>
        <w:t>Borrower</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WHEREAS, Collateral Agent, Borrower and Lenders have entered into that certain Loan and Security Agreement, dated as of October 31, 2025 (as amended, supplemented or otherwise modified from time to time, the “</w:t>
      </w:r>
      <w:r>
        <w:rPr>
          <w:rFonts w:ascii="Times New Roman" w:hAnsi="Times New Roman"/>
          <w:b/>
          <w:color w:val="000000"/>
          <w:sz w:val="20"/>
        </w:rPr>
        <w:t>Loan Agreement</w:t>
      </w:r>
      <w:r>
        <w:rPr>
          <w:rFonts w:ascii="Times New Roman" w:hAnsi="Times New Roman"/>
          <w:color w:val="000000"/>
          <w:sz w:val="20"/>
        </w:rPr>
        <w:t>”) pursuant to which Lenders have provided to Borrower certain loans in accordance with the terms and conditions thereof;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Borrower, Lenders and Collateral Agent desire to amend certain provisions of the Loan Agreement entered into pursuant to the Loan Agreement as provided herein and subject to the terms and conditions set forth 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in consideration of the promises, covenants and agreements contained herein, and other good and valuable consideration, the receipt and adequacy of which are hereby acknowledged, Borrower, Lenders and Collateral Agent hereby agree as follows: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Capitalized terms used herein but not otherwise defined shall have the respective meanings given to them in the Loan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parties hereby acknowledge and agree that on the Initial Funding Date, the Lenders made Term A Loans to Borrower in an aggregate amount of Twenty Five Million Dollars ($25,000,000.00) in accordance with the terms of the Loan Agreement, according to the Lenders’ applicable Pro Rata Share. The parties hereby further acknowledge and agree that such amount remains outstanding on the date hereof.</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Section 2.5(b) of the Loan Agreement is hereby amended and restated in its entirety as follows: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Facility Fee</w:t>
      </w:r>
      <w:r>
        <w:rPr>
          <w:rFonts w:ascii="Times New Roman" w:hAnsi="Times New Roman"/>
          <w:color w:val="000000"/>
          <w:sz w:val="20"/>
        </w:rPr>
        <w:t>. A non-refundable facility to be shared between the Lenders pursuant to their respective Commitment Percentages payable as follows: (i) an amount equal to [***]% of the principal amount of the Term A Loans funded on the Initial Funding Date shall be fully earned as a facility fee with respect to such Term A Loans and become due and payable on the Initial Funding Date; (ii) with respect to any Term A Loans funded after the Initial Funding Date, an amount equal to [***]% of the principal amount of such Term Loan funded shall be fully earned as a facility fee with respect to such Term Loan and due and payable on the Funding Date of such Term Loan; and (iii) an amount equal to [***]% of the principal amount of any Term Loans that are not Term A Loans shall be fully earned as a facility fee with respect to such Term Loan and due and payable on the Funding Date of such Term Loan.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Section 2.5(d) of the Loan Agreement is hereby amended by deleting the text “and” at the end of Section 2.5(d), replacing the text “.” at the end of Section 2.5(e) with “; and” and adding the following Section 2.5(f) at the end thereof:</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Non-Utilization Fee</w:t>
      </w:r>
      <w:r>
        <w:rPr>
          <w:rFonts w:ascii="Times New Roman" w:hAnsi="Times New Roman"/>
          <w:color w:val="000000"/>
          <w:sz w:val="20"/>
        </w:rPr>
        <w:t>. (i) If, the Borrower has not requested to draw the entire aggregate amount of the Term A Loans on or before December 31, 2026, a fully earned, non-refundable non-utilization fee equal to one percent (1.00%) of the aggregate undrawn amount of the Term A Loans, which non-use fee shall be due and payable on January 5, 2027, to be shared between the Lenders in accordance with their applicable respective Pro Rata Shares.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 If the Second Draw Period commences but the Borrower has not requested to draw the entirety of the Term B Loans on or before the earlier of (x) the date that is 90 days immediately after the commencement of the Second Draw Period and (y) September 30, 2027 a fully earned, non-refundable non-utilization fee equal to one percent (1.00%) of the aggregate undrawn amount of the Term B Loans, which non-use fee shall be due and payable on October 5, 2027, to be shared between the Lenders in accordance with their respective Pro Rata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and effective upon the Term A Loan Full Funding, Section 2.2(a)(iii) of the Loan Agreement is hereby amended and restated in its entirety as follows:</w:t>
      </w:r>
    </w:p>
    <w:p>
      <w:pPr>
        <w:pStyle w:val="TextBody"/>
        <w:bidi w:val="0"/>
        <w:spacing w:before="240" w:after="283"/>
        <w:jc w:val="both"/>
        <w:rPr>
          <w:rFonts w:ascii="Times New Roman" w:hAnsi="Times New Roman"/>
          <w:sz w:val="20"/>
        </w:rPr>
      </w:pPr>
      <w:r>
        <w:rPr>
          <w:rFonts w:ascii="Times New Roman" w:hAnsi="Times New Roman"/>
          <w:color w:val="000000"/>
          <w:sz w:val="20"/>
        </w:rPr>
        <w:t>(iii) Subject to the terms and conditions of this Agreement, the Lenders agree, severally and not jointly, during the Third Draw Period Phase 1, to make term loans to Borrower in an aggregate amount up to Twenty Million Dollars ($20,000,000.00) according to each Lender’s Term C Loan Commitment as set forth on Schedule 1.1 hereto, and during the Third Draw Period Phase 2, to make term loans to Borrower in an aggregate amount up to Twenty Million Dollars ($20,000,000.00) according to each Lender’s Term C Loan Commitment as set forth on Schedule 1.1 hereto (such term loans are hereinafter referred to singly as a “</w:t>
      </w:r>
      <w:r>
        <w:rPr>
          <w:rFonts w:ascii="Times New Roman" w:hAnsi="Times New Roman"/>
          <w:b/>
          <w:color w:val="000000"/>
          <w:sz w:val="20"/>
        </w:rPr>
        <w:t>Term C Loan</w:t>
      </w:r>
      <w:r>
        <w:rPr>
          <w:rFonts w:ascii="Times New Roman" w:hAnsi="Times New Roman"/>
          <w:color w:val="000000"/>
          <w:sz w:val="20"/>
        </w:rPr>
        <w:t>”, and collectively as the “</w:t>
      </w:r>
      <w:r>
        <w:rPr>
          <w:rFonts w:ascii="Times New Roman" w:hAnsi="Times New Roman"/>
          <w:b/>
          <w:color w:val="000000"/>
          <w:sz w:val="20"/>
        </w:rPr>
        <w:t>Term C Loans</w:t>
      </w:r>
      <w:r>
        <w:rPr>
          <w:rFonts w:ascii="Times New Roman" w:hAnsi="Times New Roman"/>
          <w:color w:val="000000"/>
          <w:sz w:val="20"/>
        </w:rPr>
        <w:t>”). After repayment, no Term C Loan may be re-borrowed.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and effective upon the Term A Loan Full Funding, Section 6.10(a) of the Loan Agreement is hereby amended and restated in its entirety as follows: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 Borrower shall achieve the following, to be tested as of the last day of the applicable quarter, on a consolidated basis with respect to Borrower and its Subsidiaries: Beginning with the quarter ending on the Financial Covenant Testing Date, trailing three-month net product sales as determined in accordance with GAAP from the sales of Borrower’s product KYV-101 of not less than the respective amounts for the applicable periods set forth </w:t>
      </w:r>
      <w:r>
        <w:rPr>
          <w:rFonts w:ascii="Times New Roman" w:hAnsi="Times New Roman"/>
          <w:color w:val="000000"/>
          <w:sz w:val="20"/>
          <w:u w:val="single"/>
        </w:rPr>
        <w:t xml:space="preserve">Schedule </w:t>
      </w:r>
      <w:r>
        <w:rPr>
          <w:rFonts w:ascii="Times New Roman" w:hAnsi="Times New Roman"/>
          <w:color w:val="000000"/>
          <w:sz w:val="20"/>
        </w:rPr>
        <w:t>2 (which represent [***]% of Borrower’s projected net product sales for Borrower’s product KYV-101 for the applicable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Section 13.1 of the Loan Agreement is hereby amended by adding the following definitions therein in alphabetical order:</w:t>
      </w:r>
    </w:p>
    <w:p>
      <w:pPr>
        <w:pStyle w:val="TextBody"/>
        <w:bidi w:val="0"/>
        <w:spacing w:before="240" w:after="283"/>
        <w:jc w:val="both"/>
        <w:rPr/>
      </w:pPr>
      <w:r>
        <w:rPr>
          <w:color w:val="000000"/>
        </w:rPr>
        <w:t>“</w:t>
      </w:r>
      <w:r>
        <w:rPr>
          <w:rFonts w:ascii="Times New Roman" w:hAnsi="Times New Roman"/>
          <w:b/>
          <w:color w:val="000000"/>
          <w:sz w:val="20"/>
        </w:rPr>
        <w:t>Capital Raise Event</w:t>
      </w:r>
      <w:r>
        <w:rPr>
          <w:rFonts w:ascii="Times New Roman" w:hAnsi="Times New Roman"/>
          <w:color w:val="000000"/>
          <w:sz w:val="20"/>
        </w:rPr>
        <w:t>” means the sale and issuance of equity securities or equity-linked instruments by Borrower, issuance of Subordinated Debt by Borrower and/or receipt of “up front” or milestone payments by Borrower in connection with a joint venture, licensing, collaboration or other partnering transaction entered into by Borrower.</w:t>
      </w:r>
    </w:p>
    <w:p>
      <w:pPr>
        <w:pStyle w:val="TextBody"/>
        <w:bidi w:val="0"/>
        <w:spacing w:before="240" w:after="283"/>
        <w:jc w:val="both"/>
        <w:rPr/>
      </w:pPr>
      <w:r>
        <w:rPr>
          <w:color w:val="000000"/>
        </w:rPr>
        <w:t>“</w:t>
      </w:r>
      <w:r>
        <w:rPr>
          <w:rFonts w:ascii="Times New Roman" w:hAnsi="Times New Roman"/>
          <w:b/>
          <w:color w:val="000000"/>
          <w:sz w:val="20"/>
        </w:rPr>
        <w:t>First Amendment Date</w:t>
      </w:r>
      <w:r>
        <w:rPr>
          <w:rFonts w:ascii="Times New Roman" w:hAnsi="Times New Roman"/>
          <w:color w:val="000000"/>
          <w:sz w:val="20"/>
        </w:rPr>
        <w:t>” is July 8, 2026.</w:t>
      </w:r>
    </w:p>
    <w:p>
      <w:pPr>
        <w:pStyle w:val="TextBody"/>
        <w:bidi w:val="0"/>
        <w:spacing w:before="240" w:after="283"/>
        <w:jc w:val="both"/>
        <w:rPr/>
      </w:pPr>
      <w:r>
        <w:rPr>
          <w:color w:val="000000"/>
        </w:rPr>
        <w:t>“</w:t>
      </w:r>
      <w:r>
        <w:rPr>
          <w:rFonts w:ascii="Times New Roman" w:hAnsi="Times New Roman"/>
          <w:b/>
          <w:color w:val="000000"/>
          <w:sz w:val="20"/>
        </w:rPr>
        <w:t>Financial Covenant Testing Date</w:t>
      </w:r>
      <w:r>
        <w:rPr>
          <w:rFonts w:ascii="Times New Roman" w:hAnsi="Times New Roman"/>
          <w:color w:val="000000"/>
          <w:sz w:val="20"/>
        </w:rPr>
        <w:t>” is (i) June 30, 2027, if the Term A Loan Full Funding has not occurred or, on or after June 15, 2026 and before June 30, 2027, Borrower does not receive unrestricted gross cash proceeds of at least [***] Dollars ($[***]) from one or more Capital Raise Events, (ii) September 30, 2027, if the Term A Loan Full Funding has occurred and, on or after June 15, 2026 and before June 30, 2027, Borrower receives unrestricted gross cash proceeds of at least [***] Dollars ($[***]) but less than [***] Dollars ($[***]) from one or more Capital Raise Events, or (iii) December 31, 2027, if the Term A Loan Full Funding has occurred and, on or after June 15, 2026 and before September 30, 2027, Borrower receives unrestricted gross cash proceeds of at least [***] Dollars ($[***]) from one or more Capital Raise Events.</w:t>
      </w:r>
    </w:p>
    <w:p>
      <w:pPr>
        <w:pStyle w:val="TextBody"/>
        <w:bidi w:val="0"/>
        <w:spacing w:before="240" w:after="283"/>
        <w:jc w:val="both"/>
        <w:rPr/>
      </w:pPr>
      <w:r>
        <w:rPr>
          <w:color w:val="000000"/>
        </w:rPr>
        <w:t>“</w:t>
      </w:r>
      <w:r>
        <w:rPr>
          <w:rFonts w:ascii="Times New Roman" w:hAnsi="Times New Roman"/>
          <w:b/>
          <w:color w:val="000000"/>
          <w:sz w:val="20"/>
        </w:rPr>
        <w:t>Term A Loan Full Funding</w:t>
      </w:r>
      <w:r>
        <w:rPr>
          <w:rFonts w:ascii="Times New Roman" w:hAnsi="Times New Roman"/>
          <w:color w:val="000000"/>
          <w:sz w:val="20"/>
        </w:rPr>
        <w:t>” is the Lenders making the Term A Loans to Borrower in the aggregate principal amount of Forty Million Dollars ($40,000,000.00), in accordance with their respective Pro Rata Shares, prior to the conclusion of the First Draw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Section 13.1 of the Loan Agreement is hereby amended by amending the following definition therein as follows:</w:t>
      </w:r>
    </w:p>
    <w:p>
      <w:pPr>
        <w:pStyle w:val="TextBody"/>
        <w:bidi w:val="0"/>
        <w:spacing w:before="240" w:after="283"/>
        <w:jc w:val="left"/>
        <w:rPr>
          <w:color w:val="000000"/>
        </w:rPr>
      </w:pPr>
      <w:r>
        <w:rPr>
          <w:color w:val="000000"/>
        </w:rPr>
        <w:t>“</w:t>
      </w:r>
      <w:r>
        <w:rPr>
          <w:rFonts w:ascii="Times New Roman" w:hAnsi="Times New Roman"/>
          <w:color w:val="000000"/>
          <w:sz w:val="20"/>
        </w:rPr>
        <w:t>Cash Covenant Commencement Date” is February 28, 2027.</w:t>
      </w:r>
    </w:p>
    <w:p>
      <w:pPr>
        <w:pStyle w:val="TextBody"/>
        <w:bidi w:val="0"/>
        <w:spacing w:before="240" w:after="283"/>
        <w:jc w:val="both"/>
        <w:rPr/>
      </w:pPr>
      <w:r>
        <w:rPr>
          <w:color w:val="000000"/>
        </w:rPr>
        <w:t>“</w:t>
      </w:r>
      <w:r>
        <w:rPr>
          <w:rFonts w:ascii="Times New Roman" w:hAnsi="Times New Roman"/>
          <w:b/>
          <w:color w:val="000000"/>
          <w:sz w:val="20"/>
        </w:rPr>
        <w:t>First Draw Period</w:t>
      </w:r>
      <w:r>
        <w:rPr>
          <w:rFonts w:ascii="Times New Roman" w:hAnsi="Times New Roman"/>
          <w:color w:val="000000"/>
          <w:sz w:val="20"/>
        </w:rPr>
        <w:t>” is the period commencing on the Initial Funding Date and ending on the earliest of (i) the occurrence of an Event of Default, (ii) December 31, 2026, and (iii) the funding of the Term B Loans.</w:t>
      </w:r>
    </w:p>
    <w:p>
      <w:pPr>
        <w:pStyle w:val="TextBody"/>
        <w:bidi w:val="0"/>
        <w:spacing w:before="240" w:after="283"/>
        <w:jc w:val="both"/>
        <w:rPr/>
      </w:pPr>
      <w:r>
        <w:rPr>
          <w:color w:val="000000"/>
        </w:rPr>
        <w:t>“</w:t>
      </w:r>
      <w:r>
        <w:rPr>
          <w:rFonts w:ascii="Times New Roman" w:hAnsi="Times New Roman"/>
          <w:b/>
          <w:color w:val="000000"/>
          <w:sz w:val="20"/>
        </w:rPr>
        <w:t>Key Person</w:t>
      </w:r>
      <w:r>
        <w:rPr>
          <w:rFonts w:ascii="Times New Roman" w:hAnsi="Times New Roman"/>
          <w:color w:val="000000"/>
          <w:sz w:val="20"/>
        </w:rPr>
        <w:t>” is each of Borrower’s (i) Chief Executive Officer, who is Warner Biddle as of the First Amendment Date, (ii) Chief Financial Officer, who is Greg Martini, as of the First Amendment Date, and (iii) Chief Medical Officer, who is Naji Gehchan, M.D., as of the First Amendment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and effecting upon the Term A Loan Full Funding, Section 13.1 of the Loan Agreement is hereby amended by amending and restating the following definitions therein as follows:</w:t>
      </w:r>
    </w:p>
    <w:p>
      <w:pPr>
        <w:pStyle w:val="TextBody"/>
        <w:bidi w:val="0"/>
        <w:spacing w:before="240" w:after="283"/>
        <w:jc w:val="both"/>
        <w:rPr/>
      </w:pPr>
      <w:r>
        <w:rPr>
          <w:color w:val="000000"/>
        </w:rPr>
        <w:t>“</w:t>
      </w:r>
      <w:r>
        <w:rPr>
          <w:rFonts w:ascii="Times New Roman" w:hAnsi="Times New Roman"/>
          <w:b/>
          <w:color w:val="000000"/>
          <w:sz w:val="20"/>
        </w:rPr>
        <w:t>Second Draw Period</w:t>
      </w:r>
      <w:r>
        <w:rPr>
          <w:rFonts w:ascii="Times New Roman" w:hAnsi="Times New Roman"/>
          <w:color w:val="000000"/>
          <w:sz w:val="20"/>
        </w:rPr>
        <w:t>” is the period commencing on the date of the occurrence of the Second Draw Period Commencement Event and ending on the earliest of (i) the date that is ninety (90) days immediately after the commencement of the Second Draw Period, (ii) September 30, 2027 and (iii) the occurrence of an Event of Default; provided, however, that the Second Draw Period shall not commence if on the date of the occurrence of the Second Draw Period Commencement Event an Event of Default has occurred and is continuing.</w:t>
      </w:r>
    </w:p>
    <w:p>
      <w:pPr>
        <w:pStyle w:val="TextBody"/>
        <w:bidi w:val="0"/>
        <w:spacing w:before="240" w:after="283"/>
        <w:jc w:val="both"/>
        <w:rPr/>
      </w:pPr>
      <w:r>
        <w:rPr>
          <w:color w:val="000000"/>
        </w:rPr>
        <w:t>“</w:t>
      </w:r>
      <w:r>
        <w:rPr>
          <w:rFonts w:ascii="Times New Roman" w:hAnsi="Times New Roman"/>
          <w:b/>
          <w:color w:val="000000"/>
          <w:sz w:val="20"/>
        </w:rPr>
        <w:t>Second Draw Period Commencement Event</w:t>
      </w:r>
      <w:r>
        <w:rPr>
          <w:rFonts w:ascii="Times New Roman" w:hAnsi="Times New Roman"/>
          <w:color w:val="000000"/>
          <w:sz w:val="20"/>
        </w:rPr>
        <w:t>” is the [***] by Borrower, on or prior to September 30, 2027, of [***].</w:t>
      </w:r>
    </w:p>
    <w:p>
      <w:pPr>
        <w:pStyle w:val="TextBody"/>
        <w:bidi w:val="0"/>
        <w:spacing w:before="240" w:after="283"/>
        <w:jc w:val="both"/>
        <w:rPr/>
      </w:pPr>
      <w:r>
        <w:rPr>
          <w:color w:val="000000"/>
        </w:rPr>
        <w:t>“</w:t>
      </w:r>
      <w:r>
        <w:rPr>
          <w:rFonts w:ascii="Times New Roman" w:hAnsi="Times New Roman"/>
          <w:b/>
          <w:color w:val="000000"/>
          <w:sz w:val="20"/>
        </w:rPr>
        <w:t>Third Draw Period Phase 1</w:t>
      </w:r>
      <w:r>
        <w:rPr>
          <w:rFonts w:ascii="Times New Roman" w:hAnsi="Times New Roman"/>
          <w:color w:val="000000"/>
          <w:sz w:val="20"/>
        </w:rPr>
        <w:t>” is the period commencing on the date of the occurrence of the Third Draw Period Phase 1 Commencement Event and ending on the earliest of (i) the date that is ninety (90) days immediately after the occurrence of the Third Draw Period Phase 1 Commencement Event, (ii) March 31, 2028 and (iii) the occurrence of an Event of Default; provided, however, that the Third Draw Period shall not commence if on the date of the occurrence of the Third Draw Period Phase 1 Commencement Event an Event of Default has occurred and is continuing.</w:t>
      </w:r>
    </w:p>
    <w:p>
      <w:pPr>
        <w:pStyle w:val="TextBody"/>
        <w:bidi w:val="0"/>
        <w:spacing w:before="240" w:after="283"/>
        <w:jc w:val="both"/>
        <w:rPr/>
      </w:pPr>
      <w:r>
        <w:rPr>
          <w:color w:val="000000"/>
        </w:rPr>
        <w:t>“</w:t>
      </w:r>
      <w:r>
        <w:rPr>
          <w:rFonts w:ascii="Times New Roman" w:hAnsi="Times New Roman"/>
          <w:b/>
          <w:color w:val="000000"/>
          <w:sz w:val="20"/>
        </w:rPr>
        <w:t>Third Draw Period Phase 1 Commencement Event</w:t>
      </w:r>
      <w:r>
        <w:rPr>
          <w:rFonts w:ascii="Times New Roman" w:hAnsi="Times New Roman"/>
          <w:color w:val="000000"/>
          <w:sz w:val="20"/>
        </w:rPr>
        <w:t>” is the occurrence of the following prior to March 31, 2028 and after the Effective Date: achievement by Borrower of [***]of [***] ($[***]) from the sale of Borrower’s product KYV-101 (including as tested at the end of the month immediately preceding the month in which the Term C Loans during the Third Draw Period Phase 1 are made).</w:t>
      </w:r>
    </w:p>
    <w:p>
      <w:pPr>
        <w:pStyle w:val="TextBody"/>
        <w:bidi w:val="0"/>
        <w:spacing w:before="240" w:after="283"/>
        <w:jc w:val="both"/>
        <w:rPr/>
      </w:pPr>
      <w:r>
        <w:rPr>
          <w:color w:val="000000"/>
        </w:rPr>
        <w:t>“</w:t>
      </w:r>
      <w:r>
        <w:rPr>
          <w:rFonts w:ascii="Times New Roman" w:hAnsi="Times New Roman"/>
          <w:b/>
          <w:color w:val="000000"/>
          <w:sz w:val="20"/>
        </w:rPr>
        <w:t>Third Draw Period Phase 2</w:t>
      </w:r>
      <w:r>
        <w:rPr>
          <w:rFonts w:ascii="Times New Roman" w:hAnsi="Times New Roman"/>
          <w:color w:val="000000"/>
          <w:sz w:val="20"/>
        </w:rPr>
        <w:t>” is the period commencing on the date of the occurrence of the Third Draw Period Phase 2 Commencement Event and ending on the earliest of (i) the date that is ninety (90) days immediately after the occurrence of the Third Draw Period Phase 2 Commencement Event, (ii) March 31, 2028 and (iii) the occurrence of an Event of Default; provided, however, that the Third Draw Period shall not commence if on the date of the occurrence of the Third Draw Period Phase 2 Commencement Event an Event of Default has occurred and is continuing.</w:t>
      </w:r>
    </w:p>
    <w:p>
      <w:pPr>
        <w:pStyle w:val="TextBody"/>
        <w:bidi w:val="0"/>
        <w:spacing w:before="240" w:after="283"/>
        <w:jc w:val="both"/>
        <w:rPr/>
      </w:pPr>
      <w:r>
        <w:rPr>
          <w:color w:val="000000"/>
        </w:rPr>
        <w:t>“</w:t>
      </w:r>
      <w:r>
        <w:rPr>
          <w:rFonts w:ascii="Times New Roman" w:hAnsi="Times New Roman"/>
          <w:b/>
          <w:color w:val="000000"/>
          <w:sz w:val="20"/>
        </w:rPr>
        <w:t>Third Draw Period Phase 2 Commencement Event</w:t>
      </w:r>
      <w:r>
        <w:rPr>
          <w:rFonts w:ascii="Times New Roman" w:hAnsi="Times New Roman"/>
          <w:color w:val="000000"/>
          <w:sz w:val="20"/>
        </w:rPr>
        <w:t>” is the occurrence of the following prior to March 31, 2028 and after the Effective Date: receipt of positive data from the [***] clinical trial for Borrower’s product KYV-101 for the treatment of [***], which data is supportive of continued clinical advancement with a commercially viable product profile for KYV-101 for the treatment of [***].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Limitation of Amendment.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amendments set forth above are effective for the purposes set forth herein and shall be limited precisely as written and shall not be deemed to (a) be a consent to any amendment, waiver or modification of any other term or condition of any Loan Document, or (b) otherwise prejudice any right, remedy or obligation which Lenders or Borrower may now have or may have in the future under or in connection with any Loan Document, as amended 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Amendment shall be construed in connection with and as part of the Loan Documents and all terms, conditions, representations, warranties, covenants and agreements set forth in the Loan Documents, are hereby ratified and confirmed and shall remain in full force and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induce Collateral Agent and Lenders to enter into this Amendment, Borrower hereby represents and warrants to Collateral Agent and Lenders as follows: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in all material respects as of such date), and (b) no Event of Default has occurred and is continuing;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execution, delivery and performance by Borrower of this Amendment and the Loan Agreement as amended by this Amendment have been duly authorized;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organizational documents of Borrower delivered to Collateral Agent on the Effective Date, and updated pursuant to subsequent deliveries by or on behalf of the Borrower to the Collateral Agent, remain true, accurate and complete and have not been amended, supplemented or restated and are and continue to be in full force and effect;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execution, delivery and performance by Borrower of this Amendment have been duly authorized, and do not (i) conflict with any of Borrower’s organizational documents, including its respective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Borrower, or any of its property or assets may be bound or affected; or (iv) constitute an event of default under any material agreement by which Borrower or any of its property, is bound;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execution and delivery by Borrower of this Amendment and the performance by Borrower of its obligations under the Loan Agreement, as amended by this Amendment, do not require any action by, filing, registration, or qualification with, or Governmental Approval from, any Governmental Authority (except such Governmental Approvals which have already been obtained and are in full force and effect) or are being obtained pursuant to Section 6.1(b) of the Loan Agreement;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Except as expressly set forth herein, the Loan Agreement shall continue in full force and effect without alteration or amendment. This Amendment and the Loan Documents represent the entire agreement about this subject matter and supersede prior negotiations or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Borrower hereby remises, releases, acquits, satisfies and forever discharges the Lenders and Collateral Agent, their agents, employees, officers, directors, predecessors, attorneys and all others acting or purporting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0"/>
        </w:rPr>
        <w:t xml:space="preserve">to act on behalf of or at the direction of the Lenders and Collateral Agent </w:t>
      </w:r>
      <w:r>
        <w:rPr>
          <w:rFonts w:ascii="Times New Roman" w:hAnsi="Times New Roman"/>
          <w:b/>
          <w:color w:val="000000"/>
          <w:sz w:val="20"/>
        </w:rPr>
        <w:t>(“Releasees</w:t>
      </w:r>
      <w:r>
        <w:rPr>
          <w:color w:val="000000"/>
        </w:rPr>
        <w:t>”</w:t>
      </w:r>
      <w:r>
        <w:rPr>
          <w:rFonts w:ascii="Times New Roman" w:hAnsi="Times New Roman"/>
          <w:color w:val="000000"/>
          <w:sz w:val="20"/>
        </w:rPr>
        <w:t>), of and from any and all manner of actions, causes of action, suit, debts, accounts, covenants, contracts, controversies, agreements, variances, damages, judgments, claims and demands whatsoever, in law or in equity (other than claims relating to fraud), which any of such parties ever had, now has or, to the extent arising from or in connection with any act, omission or state of facts taken or existing on or prior to the date hereof, may have after the date hereof against the Releasees, for, upon or by reason of any matter, cause or thing whatsoever relating to or arising out of the Loan Agreement or the other Loan Documents on or prior to the date hereof and through the date hereof. Without limiting the generality of the foregoing, the Borrower waives and affirmatively agrees not to allege or otherwise pursue any defenses, affirmative defenses, counterclaims, claims, causes of action, setoffs or other rights they do, shall or may have as of the date hereof, including the rights to contest: (a) the right of Collateral Agent and each Lender to exercise its rights and remedies described in the Loan Documents; (b) any provision of this Amendment or the Loan Documents; or (c) any conduct of the Lenders or other Releasees relating to or arising out of the Loan Agreement or the other Loan Documents on or prior to the date 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Amendment shall be deemed effective as of the First Amendment Date upon (a) the due execution and delivery to Collateral Agent of this Amendment by each party hereto, (b) Borrower’s payment of a fully earned, non-refundable amendment fee to Collateral Agent in an amount equal to One Hundred Eighty Seven Thousand Five Hundred Dollars ($187,500.00) and (c) Borrower’s payment of all Lenders’ Expenses incurred through the date hereof for which Borrower has received an invoice at least one Business Day prior to the date hereof, which may be debited (or ACH’d) from the Designated Deposit Account in accordance with Section 2.3(d) of the Loan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Amendment may be executed in any number of counterparts, each of which shall be deemed an original, and all of which, taken together, shall constitute one and the same instrument.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Amendment and the rights and obligations of the parties hereto shall be governed by and construed in accordance with the laws of the State of California.</w:t>
      </w:r>
    </w:p>
    <w:p>
      <w:pPr>
        <w:pStyle w:val="TextBody"/>
        <w:bidi w:val="0"/>
        <w:spacing w:before="240" w:after="24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Balance of Page Intentionally Left Blank</w:t>
      </w:r>
      <w:r>
        <w:rPr>
          <w:rFonts w:ascii="Times New Roman" w:hAnsi="Times New Roman"/>
          <w:b/>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parties hereto have caused this First Amendment to the Loan Agreement to be executed as of the date first set forth above.</w:t>
      </w:r>
    </w:p>
    <w:p>
      <w:pPr>
        <w:pStyle w:val="TextBody"/>
        <w:bidi w:val="0"/>
        <w:jc w:val="left"/>
        <w:rPr/>
      </w:pPr>
      <w:r>
        <w:rPr/>
        <w:t> </w:t>
      </w:r>
    </w:p>
    <w:tbl>
      <w:tblPr>
        <w:tblW w:w="4394" w:type="dxa"/>
        <w:jc w:val="left"/>
        <w:tblInd w:w="0" w:type="dxa"/>
        <w:tblLayout w:type="fixed"/>
        <w:tblCellMar>
          <w:top w:w="28" w:type="dxa"/>
          <w:left w:w="28" w:type="dxa"/>
          <w:bottom w:w="28" w:type="dxa"/>
          <w:right w:w="28" w:type="dxa"/>
        </w:tblCellMar>
      </w:tblPr>
      <w:tblGrid>
        <w:gridCol w:w="951"/>
        <w:gridCol w:w="214"/>
        <w:gridCol w:w="3229"/>
      </w:tblGrid>
      <w:tr>
        <w:trPr/>
        <w:tc>
          <w:tcPr>
            <w:tcW w:w="9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BORROWER:</w:t>
            </w:r>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KYVERNA THERAPEUTICS, INC.</w:t>
            </w:r>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Greg Martini</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 Martini</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COLLATERAL AGENT AND LENDER:</w:t>
            </w:r>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OXFORD FINANCE LLC</w:t>
            </w:r>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Colette H. Featherly</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Colette H. Featherly</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w:t>
            </w:r>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LENDER:</w:t>
            </w:r>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OXFORD FINANCE FUNDING XIII, LLC, as Lender</w:t>
            </w:r>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Oxford Finance LLC, as servicer</w:t>
            </w:r>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Colette H. Featherly</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Colette H. Featherly</w:t>
            </w:r>
          </w:p>
        </w:tc>
      </w:tr>
      <w:tr>
        <w:trPr/>
        <w:tc>
          <w:tcPr>
            <w:tcW w:w="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w:t>
            </w:r>
          </w:p>
        </w:tc>
      </w:tr>
    </w:tbl>
    <w:p>
      <w:pPr>
        <w:pStyle w:val="TextBody"/>
        <w:bidi w:val="0"/>
        <w:jc w:val="left"/>
        <w:rPr/>
      </w:pPr>
      <w:r>
        <w:rPr/>
        <w:t> </w:t>
      </w:r>
    </w:p>
    <w:p>
      <w:pPr>
        <w:pStyle w:val="TextBody"/>
        <w:bidi w:val="0"/>
        <w:jc w:val="left"/>
        <w:rPr/>
      </w:pPr>
      <w:r>
        <w:rPr/>
        <w:t> </w:t>
      </w:r>
    </w:p>
    <w:tbl>
      <w:tblPr>
        <w:tblW w:w="5700" w:type="dxa"/>
        <w:jc w:val="left"/>
        <w:tblInd w:w="0" w:type="dxa"/>
        <w:tblLayout w:type="fixed"/>
        <w:tblCellMar>
          <w:top w:w="28" w:type="dxa"/>
          <w:left w:w="28" w:type="dxa"/>
          <w:bottom w:w="28" w:type="dxa"/>
          <w:right w:w="28" w:type="dxa"/>
        </w:tblCellMar>
      </w:tblPr>
      <w:tblGrid>
        <w:gridCol w:w="772"/>
        <w:gridCol w:w="174"/>
        <w:gridCol w:w="4754"/>
      </w:tblGrid>
      <w:tr>
        <w:trPr/>
        <w:tc>
          <w:tcPr>
            <w:tcW w:w="7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7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OXFORD FINANCE CREDIT FUND FUNDING TRUST II, as Lender</w:t>
            </w:r>
          </w:p>
        </w:tc>
      </w:tr>
      <w:tr>
        <w:trPr/>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47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Oxford Finance Credit Fund II LP, as servicer</w:t>
            </w:r>
          </w:p>
        </w:tc>
      </w:tr>
      <w:tr>
        <w:trPr/>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4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Oxford Finance Advisors, LLC, as manager</w:t>
            </w:r>
          </w:p>
        </w:tc>
      </w:tr>
      <w:tr>
        <w:trPr/>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47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47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4754"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Colette H. Featherly</w:t>
            </w:r>
          </w:p>
        </w:tc>
      </w:tr>
      <w:tr>
        <w:trPr/>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4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Colette H. Featherly</w:t>
            </w:r>
          </w:p>
        </w:tc>
      </w:tr>
      <w:tr>
        <w:trPr/>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4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w:t>
            </w:r>
          </w:p>
        </w:tc>
      </w:tr>
      <w:tr>
        <w:trPr/>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47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47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OXFORD FINANCE CREDIT FUND FUNDING III, LP, as Lender</w:t>
            </w:r>
          </w:p>
        </w:tc>
      </w:tr>
      <w:tr>
        <w:trPr/>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47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Oxford Finance Credit Fund III LP, as collateral manager</w:t>
            </w:r>
          </w:p>
        </w:tc>
      </w:tr>
      <w:tr>
        <w:trPr/>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4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Oxford Finance Advisors, LLC, as manager</w:t>
            </w:r>
          </w:p>
        </w:tc>
      </w:tr>
      <w:tr>
        <w:trPr/>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47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47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4754"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Colette H. Featherly</w:t>
            </w:r>
          </w:p>
        </w:tc>
      </w:tr>
      <w:tr>
        <w:trPr/>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4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Colette H. Featherly</w:t>
            </w:r>
          </w:p>
        </w:tc>
      </w:tr>
      <w:tr>
        <w:trPr/>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4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w:t>
            </w:r>
          </w:p>
        </w:tc>
      </w:tr>
    </w:tbl>
    <w:p>
      <w:pPr>
        <w:pStyle w:val="TextBody"/>
        <w:bidi w:val="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kytx-ex31_1.htm"/>
      <w:bookmarkStart w:id="26" w:name="kskytxex31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Warner Biddle, hereby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Kyverna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62" w:type="dxa"/>
        <w:jc w:val="left"/>
        <w:tblInd w:w="0" w:type="dxa"/>
        <w:tblLayout w:type="fixed"/>
        <w:tblCellMar>
          <w:top w:w="28" w:type="dxa"/>
          <w:left w:w="28" w:type="dxa"/>
          <w:bottom w:w="28" w:type="dxa"/>
          <w:right w:w="28" w:type="dxa"/>
        </w:tblCellMar>
      </w:tblPr>
      <w:tblGrid>
        <w:gridCol w:w="1951"/>
        <w:gridCol w:w="109"/>
        <w:gridCol w:w="406"/>
        <w:gridCol w:w="25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Warner Biddle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Warner Biddle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kytx-ex31_2.htm"/>
      <w:bookmarkStart w:id="28" w:name="kskytxex31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Gregory Martini, hereby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Kyverna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32" w:type="dxa"/>
        <w:jc w:val="left"/>
        <w:tblInd w:w="0" w:type="dxa"/>
        <w:tblLayout w:type="fixed"/>
        <w:tblCellMar>
          <w:top w:w="28" w:type="dxa"/>
          <w:left w:w="28" w:type="dxa"/>
          <w:bottom w:w="28" w:type="dxa"/>
          <w:right w:w="28" w:type="dxa"/>
        </w:tblCellMar>
      </w:tblPr>
      <w:tblGrid>
        <w:gridCol w:w="1951"/>
        <w:gridCol w:w="109"/>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Gregory Martini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Gregory Martini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kytx-ex32_1.htm"/>
      <w:bookmarkStart w:id="30" w:name="kskytxex32_1"/>
      <w:bookmarkEnd w:id="29"/>
      <w:bookmarkEnd w:id="30"/>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Kyverna Therapeutics, Inc. (the “Company”) for the period ended June 30, 2026 as filed with the Securities and Exchange Commission on the date hereof (the “Report”), I certify, pursuant to 18 U.S.C. § 1350, as adopted pursuant to § 906 of the Sarbanes-Oxley Act of 2002, to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62" w:type="dxa"/>
        <w:jc w:val="left"/>
        <w:tblInd w:w="0" w:type="dxa"/>
        <w:tblLayout w:type="fixed"/>
        <w:tblCellMar>
          <w:top w:w="28" w:type="dxa"/>
          <w:left w:w="28" w:type="dxa"/>
          <w:bottom w:w="28" w:type="dxa"/>
          <w:right w:w="28" w:type="dxa"/>
        </w:tblCellMar>
      </w:tblPr>
      <w:tblGrid>
        <w:gridCol w:w="1951"/>
        <w:gridCol w:w="109"/>
        <w:gridCol w:w="406"/>
        <w:gridCol w:w="25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Warner Biddle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Warner Biddle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kytx-ex32_2.htm"/>
      <w:bookmarkStart w:id="32" w:name="kskytxex32_2"/>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Kyverna Therapeutics, Inc. (the “Company”) for the period ended June 30, 2026 as filed with the Securities and Exchange Commission on the date hereof (the “Report”), I certify, pursuant to 18 U.S.C. § 1350, as adopted pursuant to § 906 of the Sarbanes-Oxley Act of 2002, to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32" w:type="dxa"/>
        <w:jc w:val="left"/>
        <w:tblInd w:w="0" w:type="dxa"/>
        <w:tblLayout w:type="fixed"/>
        <w:tblCellMar>
          <w:top w:w="28" w:type="dxa"/>
          <w:left w:w="28" w:type="dxa"/>
          <w:bottom w:w="28" w:type="dxa"/>
          <w:right w:w="28" w:type="dxa"/>
        </w:tblCellMar>
      </w:tblPr>
      <w:tblGrid>
        <w:gridCol w:w="1951"/>
        <w:gridCol w:w="109"/>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Gregory Martini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Gregory Martini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94702/000119312524032161/d765670dex31.htm" TargetMode="External"/><Relationship Id="rId4" Type="http://schemas.openxmlformats.org/officeDocument/2006/relationships/hyperlink" Target="https://www.sec.gov/Archives/edgar/data/1994702/000119312524032161/d765670dex32.htm" TargetMode="External"/><Relationship Id="rId5" Type="http://schemas.openxmlformats.org/officeDocument/2006/relationships/hyperlink" Target="https://www.sec.gov/Archives/edgar/data/1994702/000119312524008614/d530411dex41.htm" TargetMode="External"/><Relationship Id="rId6" Type="http://schemas.openxmlformats.org/officeDocument/2006/relationships/hyperlink" Target="https://www.sec.gov/Archives/edgar/data/1994702/000119312526227920/kytx-ex10_1.htm" TargetMode="External"/><Relationship Id="rId7" Type="http://schemas.openxmlformats.org/officeDocument/2006/relationships/hyperlink" Target="https://www.sec.gov/Archives/edgar/data/1994702/000119312526227920/kytx-ex10_2.htm"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89298</Words>
  <Characters>494011</Characters>
  <CharactersWithSpaces>583025</CharactersWithSpaces>
  <Paragraphs>6321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